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022" w:rsidP="0FA519F6" w:rsidRDefault="00123022" w14:paraId="211A33E1" w14:textId="77777777" w14:noSpellErr="1">
      <w:pPr>
        <w:spacing w:after="0" w:line="240" w:lineRule="auto"/>
        <w:jc w:val="center"/>
        <w:rPr>
          <w:rFonts w:ascii="Arial" w:hAnsi="Arial" w:eastAsia="Arial" w:cs="Arial"/>
          <w:sz w:val="28"/>
          <w:szCs w:val="28"/>
        </w:rPr>
      </w:pPr>
      <w:r w:rsidRPr="0FA519F6" w:rsidR="0FA519F6">
        <w:rPr>
          <w:rFonts w:ascii="Arial" w:hAnsi="Arial" w:eastAsia="Arial" w:cs="Arial"/>
          <w:b w:val="1"/>
          <w:bCs w:val="1"/>
          <w:sz w:val="28"/>
          <w:szCs w:val="28"/>
        </w:rPr>
        <w:t>ÁUDIO BINAURAL EM PODCASTS: AMPLIANDO A IMERSÃO NA EDUCAÇÃO A DISTÂNCIA</w:t>
      </w:r>
    </w:p>
    <w:p w:rsidR="00123022" w:rsidP="0FA519F6" w:rsidRDefault="00123022" w14:paraId="68173B8A" w14:textId="704EFBAE" w14:noSpellErr="1">
      <w:pPr>
        <w:spacing w:after="0" w:line="240" w:lineRule="auto"/>
        <w:jc w:val="center"/>
        <w:rPr>
          <w:rFonts w:ascii="Arial" w:hAnsi="Arial" w:eastAsia="Arial" w:cs="Arial"/>
          <w:i w:val="1"/>
          <w:iCs w:val="1"/>
          <w:sz w:val="24"/>
          <w:szCs w:val="24"/>
        </w:rPr>
      </w:pPr>
      <w:r w:rsidRPr="0FA519F6" w:rsidR="0FA519F6">
        <w:rPr>
          <w:rFonts w:ascii="Arial" w:hAnsi="Arial" w:eastAsia="Arial" w:cs="Arial"/>
          <w:i w:val="1"/>
          <w:iCs w:val="1"/>
          <w:sz w:val="24"/>
          <w:szCs w:val="24"/>
        </w:rPr>
        <w:t>BINAURAL AUDIO IN PODCASTS: ENHANCING IMMERSION IN DISTANCE EDUCATION</w:t>
      </w:r>
    </w:p>
    <w:p w:rsidR="00123022" w:rsidP="0FA519F6" w:rsidRDefault="00123022" w14:paraId="61CE7346" w14:textId="77777777" w14:noSpellErr="1">
      <w:pPr>
        <w:spacing w:after="0" w:line="240" w:lineRule="auto"/>
        <w:jc w:val="center"/>
        <w:rPr>
          <w:rFonts w:ascii="Arial" w:hAnsi="Arial" w:eastAsia="Arial" w:cs="Arial"/>
          <w:i w:val="1"/>
          <w:iCs w:val="1"/>
          <w:sz w:val="22"/>
          <w:szCs w:val="22"/>
        </w:rPr>
      </w:pPr>
    </w:p>
    <w:p w:rsidRPr="0034018F" w:rsidR="00123022" w:rsidP="0FA519F6" w:rsidRDefault="0034018F" w14:paraId="6F638D3E" w14:textId="6C8FBBFB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FA519F6" w:rsidR="0FA519F6">
        <w:rPr>
          <w:rFonts w:ascii="Arial" w:hAnsi="Arial" w:eastAsia="Arial" w:cs="Arial"/>
          <w:sz w:val="24"/>
          <w:szCs w:val="24"/>
        </w:rPr>
        <w:t xml:space="preserve">Marcio Alexandre Wecker – </w:t>
      </w:r>
      <w:r w:rsidRPr="0FA519F6" w:rsidR="0FA519F6">
        <w:rPr>
          <w:rFonts w:ascii="Arial" w:hAnsi="Arial" w:eastAsia="Arial" w:cs="Arial"/>
          <w:sz w:val="24"/>
          <w:szCs w:val="24"/>
        </w:rPr>
        <w:t>TeleSapiens</w:t>
      </w:r>
    </w:p>
    <w:p w:rsidRPr="0034018F" w:rsidR="0034018F" w:rsidP="0FA519F6" w:rsidRDefault="0034018F" w14:paraId="6B15249D" w14:textId="21EBD556" w14:noSpellErr="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FA519F6" w:rsidR="0FA519F6">
        <w:rPr>
          <w:rFonts w:ascii="Arial" w:hAnsi="Arial" w:eastAsia="Arial" w:cs="Arial"/>
          <w:sz w:val="24"/>
          <w:szCs w:val="24"/>
        </w:rPr>
        <w:t>&lt;marcio.wecker@telesapiens.com.br&gt;</w:t>
      </w:r>
    </w:p>
    <w:p w:rsidR="00123022" w:rsidP="0FA519F6" w:rsidRDefault="00123022" w14:paraId="6389AE1C" w14:textId="482931AD" w14:noSpellErr="1">
      <w:pPr>
        <w:spacing w:line="240" w:lineRule="auto"/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</w:p>
    <w:p w:rsidRPr="00123022" w:rsidR="00123022" w:rsidP="0FA519F6" w:rsidRDefault="00123022" w14:paraId="5A471150" w14:textId="40A3B5FE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Resumo: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 Este artigo explora o uso do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em podcasts como ferramenta para aumentar a imersão e o engajamento na Educação a Distância (EAD). Através de um estudo experimental, analisamos como 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afeta a percepção espacial, as emoções e a capacidade de visualização dos alunos. Os resultados indicam que 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oferece uma experiência mais rica e envolvente, com potencial para transformar a aprendizagem online.</w:t>
      </w:r>
    </w:p>
    <w:p w:rsidRPr="00123022" w:rsidR="00123022" w:rsidP="0FA519F6" w:rsidRDefault="00123022" w14:paraId="737007CC" w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Palavras-chave: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 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>, Podcasts, Educação a Distância, Imersão, Engajamento.</w:t>
      </w:r>
    </w:p>
    <w:p w:rsidRPr="00123022" w:rsidR="00123022" w:rsidP="0FA519F6" w:rsidRDefault="00123022" w14:paraId="2BE7FFDE" w14:textId="086A8376">
      <w:pPr>
        <w:spacing w:after="0" w:line="240" w:lineRule="auto"/>
        <w:jc w:val="both"/>
        <w:rPr>
          <w:rFonts w:ascii="Arial" w:hAnsi="Arial" w:eastAsia="Arial" w:cs="Arial"/>
          <w:i w:val="1"/>
          <w:iCs w:val="1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Abstract:</w:t>
      </w:r>
      <w:r w:rsidRPr="0FA519F6" w:rsidR="0FA519F6">
        <w:rPr>
          <w:rFonts w:ascii="Arial" w:hAnsi="Arial" w:eastAsia="Arial" w:cs="Arial"/>
          <w:sz w:val="22"/>
          <w:szCs w:val="22"/>
        </w:rPr>
        <w:t> 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This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paper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explores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the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use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of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audio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in podcasts as a tool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to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increase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immersion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and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engagement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in Distance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Education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(DE).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Through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an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experimental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study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,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we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analyze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how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audio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affects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students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’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spatial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perception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,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emotions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,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and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visualization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ability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. The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results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indicate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that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audio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offers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a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richer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and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more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immersive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experience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,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with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the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potential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to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transform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online learning.</w:t>
      </w:r>
    </w:p>
    <w:p w:rsidRPr="00123022" w:rsidR="00123022" w:rsidP="0FA519F6" w:rsidRDefault="00123022" w14:paraId="49811846" w14:textId="77777777">
      <w:pPr>
        <w:spacing w:after="0" w:line="240" w:lineRule="auto"/>
        <w:jc w:val="both"/>
        <w:rPr>
          <w:rFonts w:ascii="Arial" w:hAnsi="Arial" w:eastAsia="Arial" w:cs="Arial"/>
          <w:i w:val="1"/>
          <w:iCs w:val="1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Keywords:</w:t>
      </w:r>
      <w:r w:rsidRPr="0FA519F6" w:rsidR="0FA519F6">
        <w:rPr>
          <w:rFonts w:ascii="Arial" w:hAnsi="Arial" w:eastAsia="Arial" w:cs="Arial"/>
          <w:sz w:val="22"/>
          <w:szCs w:val="22"/>
        </w:rPr>
        <w:t> 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Audio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, Podcasts, Distance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Education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,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Immersion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 xml:space="preserve">, 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Engagement</w:t>
      </w:r>
      <w:r w:rsidRPr="0FA519F6" w:rsidR="0FA519F6">
        <w:rPr>
          <w:rFonts w:ascii="Arial" w:hAnsi="Arial" w:eastAsia="Arial" w:cs="Arial"/>
          <w:i w:val="1"/>
          <w:iCs w:val="1"/>
          <w:sz w:val="22"/>
          <w:szCs w:val="22"/>
        </w:rPr>
        <w:t>.</w:t>
      </w:r>
    </w:p>
    <w:p w:rsidRPr="00123022" w:rsidR="00123022" w:rsidP="0FA519F6" w:rsidRDefault="00123022" w14:paraId="55D4C425" w14:textId="77777777" w14:noSpellErr="1">
      <w:pPr>
        <w:spacing w:after="0" w:line="240" w:lineRule="auto"/>
        <w:jc w:val="both"/>
        <w:rPr>
          <w:rFonts w:ascii="Arial" w:hAnsi="Arial" w:eastAsia="Arial" w:cs="Arial"/>
          <w:i w:val="1"/>
          <w:iCs w:val="1"/>
          <w:sz w:val="22"/>
          <w:szCs w:val="22"/>
        </w:rPr>
      </w:pPr>
    </w:p>
    <w:p w:rsidRPr="00123022" w:rsidR="00123022" w:rsidP="0FA519F6" w:rsidRDefault="00123022" w14:paraId="0E3E3469" w14:textId="2F7D48DE" w14:noSpellErr="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eastAsia="Arial" w:cs="Arial"/>
          <w:b w:val="1"/>
          <w:bCs w:val="1"/>
          <w:sz w:val="28"/>
          <w:szCs w:val="28"/>
        </w:rPr>
      </w:pPr>
      <w:r w:rsidRPr="0FA519F6" w:rsidR="0FA519F6">
        <w:rPr>
          <w:rFonts w:ascii="Arial" w:hAnsi="Arial" w:eastAsia="Arial" w:cs="Arial"/>
          <w:b w:val="1"/>
          <w:bCs w:val="1"/>
          <w:sz w:val="28"/>
          <w:szCs w:val="28"/>
        </w:rPr>
        <w:t>Introdução</w:t>
      </w:r>
    </w:p>
    <w:p w:rsidR="0FA519F6" w:rsidP="0FA519F6" w:rsidRDefault="0FA519F6" w14:paraId="65CC2B27" w14:textId="4E43543A">
      <w:pPr>
        <w:pStyle w:val="PargrafodaLista"/>
        <w:spacing w:after="0" w:line="240" w:lineRule="auto"/>
        <w:ind w:left="360"/>
        <w:jc w:val="both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0FA519F6" w:rsidP="0FA519F6" w:rsidRDefault="0FA519F6" w14:paraId="053B012C" w14:textId="06AA358B">
      <w:pPr>
        <w:spacing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A crescente popularidade dos podcasts na EAD apresenta oportunidades para inovações que melhorem a experiência de aprendizagem. 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, com sua capacidade de criar uma sensação de espaço e imersão sonora, surge como uma tecnologia promissora. Como apontado por Ocular </w:t>
      </w:r>
      <w:r w:rsidRPr="0FA519F6" w:rsidR="0FA519F6">
        <w:rPr>
          <w:rFonts w:ascii="Arial" w:hAnsi="Arial" w:eastAsia="Arial" w:cs="Arial"/>
          <w:sz w:val="22"/>
          <w:szCs w:val="22"/>
        </w:rPr>
        <w:t>Sounds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(2023), 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cria uma experiência auditiva tridimensional, influenciando positivamente a aprendizagem. Este artigo investiga o impacto do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em podcasts educativos, buscando entender seus efeitos na percepção e no engajamento dos alunos.</w:t>
      </w:r>
    </w:p>
    <w:p w:rsidR="0FA519F6" w:rsidP="0FA519F6" w:rsidRDefault="0FA519F6" w14:paraId="6709B9B5" w14:textId="045C0520">
      <w:pPr>
        <w:spacing w:line="240" w:lineRule="auto"/>
        <w:jc w:val="both"/>
        <w:rPr>
          <w:rFonts w:ascii="Arial" w:hAnsi="Arial" w:eastAsia="Arial" w:cs="Arial"/>
          <w:sz w:val="22"/>
          <w:szCs w:val="22"/>
        </w:rPr>
      </w:pPr>
    </w:p>
    <w:p w:rsidRPr="00123022" w:rsidR="00123022" w:rsidP="0FA519F6" w:rsidRDefault="00123022" w14:paraId="08532D25" w14:textId="02FFD911" w14:noSpellErr="1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8"/>
          <w:szCs w:val="28"/>
        </w:rPr>
      </w:pPr>
      <w:r w:rsidRPr="0FA519F6" w:rsidR="0FA519F6">
        <w:rPr>
          <w:rFonts w:ascii="Arial" w:hAnsi="Arial" w:eastAsia="Arial" w:cs="Arial"/>
          <w:b w:val="1"/>
          <w:bCs w:val="1"/>
          <w:sz w:val="28"/>
          <w:szCs w:val="28"/>
        </w:rPr>
        <w:t>Conceito, Importância e Metodologia</w:t>
      </w:r>
    </w:p>
    <w:p w:rsidR="0FA519F6" w:rsidP="0FA519F6" w:rsidRDefault="0FA519F6" w14:paraId="2DC8A98F" w14:textId="6E262BCF">
      <w:pPr>
        <w:pStyle w:val="PargrafodaLista"/>
        <w:spacing w:line="240" w:lineRule="auto"/>
        <w:ind w:left="360"/>
        <w:jc w:val="both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Pr="00123022" w:rsidR="00123022" w:rsidP="0FA519F6" w:rsidRDefault="00123022" w14:paraId="79F7A45A" w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Em essência, 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utiliza dois microfones para capturar o som de forma semelhante à audição humana, proporcionando uma experiência tridimensional (AFTRS, 2020). Essa técnica pode aumentar significativamente a imersão em conteúdos auditivos, tornando a experiência de aprendizado mais envolvente e memorável.</w:t>
      </w:r>
    </w:p>
    <w:p w:rsidRPr="00123022" w:rsidR="00123022" w:rsidP="0FA519F6" w:rsidRDefault="00123022" w14:paraId="2C690E94" w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Estudos demonstram que a estimulação auditiva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é processada de forma distinta dos estímulos </w:t>
      </w:r>
      <w:r w:rsidRPr="0FA519F6" w:rsidR="0FA519F6">
        <w:rPr>
          <w:rFonts w:ascii="Arial" w:hAnsi="Arial" w:eastAsia="Arial" w:cs="Arial"/>
          <w:sz w:val="22"/>
          <w:szCs w:val="22"/>
        </w:rPr>
        <w:t>monaurais</w:t>
      </w:r>
      <w:r w:rsidRPr="0FA519F6" w:rsidR="0FA519F6">
        <w:rPr>
          <w:rFonts w:ascii="Arial" w:hAnsi="Arial" w:eastAsia="Arial" w:cs="Arial"/>
          <w:sz w:val="22"/>
          <w:szCs w:val="22"/>
        </w:rPr>
        <w:t>, ocorrendo uma interação central nos núcleos olivares superiores, o que contribui para efeitos cognitivos distintos (</w:t>
      </w:r>
      <w:r w:rsidRPr="0FA519F6" w:rsidR="0FA519F6">
        <w:rPr>
          <w:rFonts w:ascii="Arial" w:hAnsi="Arial" w:eastAsia="Arial" w:cs="Arial"/>
          <w:sz w:val="22"/>
          <w:szCs w:val="22"/>
        </w:rPr>
        <w:t>Chaieb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et al., 2015).</w:t>
      </w:r>
    </w:p>
    <w:p w:rsidRPr="00123022" w:rsidR="00123022" w:rsidP="0FA519F6" w:rsidRDefault="00123022" w14:paraId="5560FD3C" w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O estudo experimental envolveu a comparação da experiência de audição de podcasts educativos em formato estéreo e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>. Dez participantes foram expostos a ambos os formatos e responderam a questionários sobre suas percepções e emoções.</w:t>
      </w:r>
    </w:p>
    <w:p w:rsidRPr="00123022" w:rsidR="00123022" w:rsidP="0FA519F6" w:rsidRDefault="00123022" w14:paraId="04DFCCDA" w14:textId="77777777" w14:noSpellErr="1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Etapas:</w:t>
      </w:r>
    </w:p>
    <w:p w:rsidRPr="00123022" w:rsidR="00123022" w:rsidP="0FA519F6" w:rsidRDefault="00123022" w14:paraId="18C289CF" w14:textId="77777777" w14:noSpellErr="1">
      <w:pPr>
        <w:numPr>
          <w:ilvl w:val="0"/>
          <w:numId w:val="1"/>
        </w:num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Seleção:</w:t>
      </w:r>
      <w:r w:rsidRPr="0FA519F6" w:rsidR="0FA519F6">
        <w:rPr>
          <w:rFonts w:ascii="Arial" w:hAnsi="Arial" w:eastAsia="Arial" w:cs="Arial"/>
          <w:sz w:val="22"/>
          <w:szCs w:val="22"/>
        </w:rPr>
        <w:t> Dez participantes voluntários com experiência em EAD.</w:t>
      </w:r>
    </w:p>
    <w:p w:rsidRPr="00123022" w:rsidR="00123022" w:rsidP="0FA519F6" w:rsidRDefault="00123022" w14:paraId="7A2D9007" w14:textId="77777777">
      <w:pPr>
        <w:numPr>
          <w:ilvl w:val="0"/>
          <w:numId w:val="1"/>
        </w:num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Exposição: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 Ouvir podcasts em estéreo e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sobre "Gestão de Pessoas".</w:t>
      </w:r>
    </w:p>
    <w:p w:rsidRPr="00123022" w:rsidR="00123022" w:rsidP="0FA519F6" w:rsidRDefault="00123022" w14:paraId="40FB67D6" w14:textId="77777777" w14:noSpellErr="1">
      <w:pPr>
        <w:numPr>
          <w:ilvl w:val="0"/>
          <w:numId w:val="1"/>
        </w:num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Questionários:</w:t>
      </w:r>
      <w:r w:rsidRPr="0FA519F6" w:rsidR="0FA519F6">
        <w:rPr>
          <w:rFonts w:ascii="Arial" w:hAnsi="Arial" w:eastAsia="Arial" w:cs="Arial"/>
          <w:sz w:val="22"/>
          <w:szCs w:val="22"/>
        </w:rPr>
        <w:t> Avaliação de emoções, memórias, percepção espacial e visualização.</w:t>
      </w:r>
    </w:p>
    <w:p w:rsidR="00123022" w:rsidP="0FA519F6" w:rsidRDefault="00123022" w14:paraId="07CB49FF" w14:textId="77777777" w14:noSpellErr="1">
      <w:pPr>
        <w:numPr>
          <w:ilvl w:val="0"/>
          <w:numId w:val="1"/>
        </w:num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Análise:</w:t>
      </w:r>
      <w:r w:rsidRPr="0FA519F6" w:rsidR="0FA519F6">
        <w:rPr>
          <w:rFonts w:ascii="Arial" w:hAnsi="Arial" w:eastAsia="Arial" w:cs="Arial"/>
          <w:sz w:val="22"/>
          <w:szCs w:val="22"/>
        </w:rPr>
        <w:t> Comparação das respostas entre os dois formatos de áudio.</w:t>
      </w:r>
    </w:p>
    <w:p w:rsidRPr="00123022" w:rsidR="00123022" w:rsidP="0FA519F6" w:rsidRDefault="00123022" w14:paraId="4E7C3F1B" w14:textId="77777777" w14:noSpellErr="1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</w:p>
    <w:p w:rsidRPr="00123022" w:rsidR="00123022" w:rsidP="0FA519F6" w:rsidRDefault="00123022" w14:paraId="1CE27988" w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O processo de aplicação do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em produções didáticas pode trazer benefícios como:</w:t>
      </w:r>
    </w:p>
    <w:p w:rsidRPr="00123022" w:rsidR="00123022" w:rsidP="0FA519F6" w:rsidRDefault="00123022" w14:paraId="375D0B3B" w14:textId="77777777" w14:noSpellErr="1">
      <w:pPr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Imersão:</w:t>
      </w:r>
      <w:r w:rsidRPr="0FA519F6" w:rsidR="0FA519F6">
        <w:rPr>
          <w:rFonts w:ascii="Arial" w:hAnsi="Arial" w:eastAsia="Arial" w:cs="Arial"/>
          <w:sz w:val="22"/>
          <w:szCs w:val="22"/>
        </w:rPr>
        <w:t> Aumento da sensação de presença e envolvimento com o conteúdo.</w:t>
      </w:r>
    </w:p>
    <w:p w:rsidRPr="00123022" w:rsidR="00123022" w:rsidP="0FA519F6" w:rsidRDefault="00123022" w14:paraId="0784B273" w14:textId="77777777" w14:noSpellErr="1">
      <w:pPr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Engajamento:</w:t>
      </w:r>
      <w:r w:rsidRPr="0FA519F6" w:rsidR="0FA519F6">
        <w:rPr>
          <w:rFonts w:ascii="Arial" w:hAnsi="Arial" w:eastAsia="Arial" w:cs="Arial"/>
          <w:sz w:val="22"/>
          <w:szCs w:val="22"/>
        </w:rPr>
        <w:t> Maior interesse e motivação para aprender.</w:t>
      </w:r>
    </w:p>
    <w:p w:rsidRPr="00123022" w:rsidR="00123022" w:rsidP="0FA519F6" w:rsidRDefault="00123022" w14:paraId="08BE9B5B" w14:textId="77777777" w14:noSpellErr="1">
      <w:pPr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Memorização:</w:t>
      </w:r>
      <w:r w:rsidRPr="0FA519F6" w:rsidR="0FA519F6">
        <w:rPr>
          <w:rFonts w:ascii="Arial" w:hAnsi="Arial" w:eastAsia="Arial" w:cs="Arial"/>
          <w:sz w:val="22"/>
          <w:szCs w:val="22"/>
        </w:rPr>
        <w:t> Facilidade em recordar informações e detalhes.</w:t>
      </w:r>
    </w:p>
    <w:p w:rsidR="00123022" w:rsidP="0FA519F6" w:rsidRDefault="00123022" w14:paraId="135AA0AB" w14:textId="77777777" w14:noSpellErr="1">
      <w:pPr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Percepção:</w:t>
      </w:r>
      <w:r w:rsidRPr="0FA519F6" w:rsidR="0FA519F6">
        <w:rPr>
          <w:rFonts w:ascii="Arial" w:hAnsi="Arial" w:eastAsia="Arial" w:cs="Arial"/>
          <w:sz w:val="22"/>
          <w:szCs w:val="22"/>
        </w:rPr>
        <w:t> Melhora na percepção espacial e visualização do conteúdo.</w:t>
      </w:r>
    </w:p>
    <w:p w:rsidR="0FA519F6" w:rsidP="0FA519F6" w:rsidRDefault="0FA519F6" w14:paraId="738C8BB7" w14:textId="21A9DD00">
      <w:pPr>
        <w:spacing w:after="0" w:line="240" w:lineRule="auto"/>
        <w:ind w:left="720"/>
        <w:jc w:val="both"/>
        <w:rPr>
          <w:rFonts w:ascii="Arial" w:hAnsi="Arial" w:eastAsia="Arial" w:cs="Arial"/>
          <w:sz w:val="22"/>
          <w:szCs w:val="22"/>
        </w:rPr>
      </w:pPr>
    </w:p>
    <w:p w:rsidRPr="00123022" w:rsidR="00123022" w:rsidP="0FA519F6" w:rsidRDefault="00123022" w14:paraId="529B288F" w14:textId="77777777" w14:noSpellErr="1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</w:p>
    <w:p w:rsidRPr="00123022" w:rsidR="00123022" w:rsidP="0FA519F6" w:rsidRDefault="00123022" w14:paraId="16D272DA" w14:textId="30DEF68E" w14:noSpellErr="1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eastAsia="Arial" w:cs="Arial"/>
          <w:b w:val="1"/>
          <w:bCs w:val="1"/>
          <w:sz w:val="28"/>
          <w:szCs w:val="28"/>
        </w:rPr>
      </w:pPr>
      <w:r w:rsidRPr="0FA519F6" w:rsidR="0FA519F6">
        <w:rPr>
          <w:rFonts w:ascii="Arial" w:hAnsi="Arial" w:eastAsia="Arial" w:cs="Arial"/>
          <w:b w:val="1"/>
          <w:bCs w:val="1"/>
          <w:sz w:val="28"/>
          <w:szCs w:val="28"/>
        </w:rPr>
        <w:t>Conclusão</w:t>
      </w:r>
    </w:p>
    <w:p w:rsidR="0FA519F6" w:rsidP="0FA519F6" w:rsidRDefault="0FA519F6" w14:paraId="1924A17B" w14:textId="7DDCB2E0">
      <w:pPr>
        <w:pStyle w:val="PargrafodaLista"/>
        <w:spacing w:line="240" w:lineRule="auto"/>
        <w:ind w:left="360"/>
        <w:jc w:val="both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Pr="00123022" w:rsidR="00123022" w:rsidP="0FA519F6" w:rsidRDefault="00123022" w14:paraId="228CC78D" w14:textId="77777777">
      <w:pPr>
        <w:spacing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em podcasts educativos tem o potencial de transformar a experiência de aprendizagem na EAD, proporcionando maior imersão, engajamento e memorização. Ao criar uma sensação de espaço e presença sonora, o áudio </w:t>
      </w:r>
      <w:r w:rsidRPr="0FA519F6" w:rsidR="0FA519F6">
        <w:rPr>
          <w:rFonts w:ascii="Arial" w:hAnsi="Arial" w:eastAsia="Arial" w:cs="Arial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pode tornar o aprendizado mais vívido e significativo para os alunos.</w:t>
      </w:r>
    </w:p>
    <w:p w:rsidR="0FA519F6" w:rsidP="0FA519F6" w:rsidRDefault="0FA519F6" w14:paraId="7E5C001E" w14:textId="3399D300">
      <w:pPr>
        <w:spacing w:line="240" w:lineRule="auto"/>
        <w:jc w:val="both"/>
        <w:rPr>
          <w:rFonts w:ascii="Arial" w:hAnsi="Arial" w:eastAsia="Arial" w:cs="Arial"/>
          <w:sz w:val="22"/>
          <w:szCs w:val="22"/>
        </w:rPr>
      </w:pPr>
    </w:p>
    <w:p w:rsidRPr="00123022" w:rsidR="00123022" w:rsidP="0FA519F6" w:rsidRDefault="00123022" w14:paraId="0DD02219" w14:textId="77777777" w14:noSpellErr="1">
      <w:pPr>
        <w:spacing w:line="240" w:lineRule="auto"/>
        <w:jc w:val="both"/>
        <w:rPr>
          <w:rFonts w:ascii="Arial" w:hAnsi="Arial" w:eastAsia="Arial" w:cs="Arial"/>
          <w:b w:val="1"/>
          <w:bCs w:val="1"/>
          <w:sz w:val="28"/>
          <w:szCs w:val="28"/>
        </w:rPr>
      </w:pPr>
      <w:r w:rsidRPr="0FA519F6" w:rsidR="0FA519F6">
        <w:rPr>
          <w:rFonts w:ascii="Arial" w:hAnsi="Arial" w:eastAsia="Arial" w:cs="Arial"/>
          <w:b w:val="1"/>
          <w:bCs w:val="1"/>
          <w:sz w:val="28"/>
          <w:szCs w:val="28"/>
        </w:rPr>
        <w:t>Referências</w:t>
      </w:r>
    </w:p>
    <w:p w:rsidR="0FA519F6" w:rsidP="0FA519F6" w:rsidRDefault="0FA519F6" w14:paraId="5EBC9BF6" w14:textId="7B096D15">
      <w:pPr>
        <w:spacing w:line="240" w:lineRule="auto"/>
        <w:jc w:val="both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00123022" w:rsidP="0FA519F6" w:rsidRDefault="00123022" w14:paraId="5CC30020" w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AFTRS.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Precipice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Narrative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Podcast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. 2020. </w:t>
      </w:r>
    </w:p>
    <w:p w:rsidRPr="00123022" w:rsidR="00123022" w:rsidP="0FA519F6" w:rsidRDefault="00123022" w14:paraId="06EAFAA1" w14:textId="60E8C463" w14:noSpellErr="1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>Disponível em: </w:t>
      </w:r>
      <w:hyperlink r:id="R743334930bb844d3">
        <w:r w:rsidRPr="0FA519F6" w:rsidR="0FA519F6">
          <w:rPr>
            <w:rStyle w:val="Hyperlink"/>
            <w:rFonts w:ascii="Arial" w:hAnsi="Arial" w:eastAsia="Arial" w:cs="Arial"/>
            <w:sz w:val="22"/>
            <w:szCs w:val="22"/>
          </w:rPr>
          <w:t>https://www.aftrs.edu.au/about/research-and-innovation/precipice/</w:t>
        </w:r>
      </w:hyperlink>
      <w:r w:rsidRPr="0FA519F6" w:rsidR="0FA519F6">
        <w:rPr>
          <w:rFonts w:ascii="Arial" w:hAnsi="Arial" w:eastAsia="Arial" w:cs="Arial"/>
          <w:sz w:val="22"/>
          <w:szCs w:val="22"/>
        </w:rPr>
        <w:t>. Acesso em: 19 mar. 2025.</w:t>
      </w:r>
    </w:p>
    <w:p w:rsidR="00123022" w:rsidP="0FA519F6" w:rsidRDefault="00123022" w14:paraId="5DB2DA49" w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CHAIEB, L. et al.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Auditory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Beat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Stimulation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and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its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Effects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on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Cognition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and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Mood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States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. </w:t>
      </w:r>
      <w:r w:rsidRPr="0FA519F6" w:rsidR="0FA519F6">
        <w:rPr>
          <w:rFonts w:ascii="Arial" w:hAnsi="Arial" w:eastAsia="Arial" w:cs="Arial"/>
          <w:sz w:val="22"/>
          <w:szCs w:val="22"/>
        </w:rPr>
        <w:t>Frontiers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 in </w:t>
      </w:r>
      <w:r w:rsidRPr="0FA519F6" w:rsidR="0FA519F6">
        <w:rPr>
          <w:rFonts w:ascii="Arial" w:hAnsi="Arial" w:eastAsia="Arial" w:cs="Arial"/>
          <w:sz w:val="22"/>
          <w:szCs w:val="22"/>
        </w:rPr>
        <w:t>Psychiatry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, v. 6, 2015. </w:t>
      </w:r>
    </w:p>
    <w:p w:rsidRPr="00123022" w:rsidR="00123022" w:rsidP="0FA519F6" w:rsidRDefault="00123022" w14:paraId="43FED3EB" w14:textId="3FE8B69F" w14:noSpellErr="1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>Disponível em: </w:t>
      </w:r>
      <w:hyperlink r:id="R279dc5de06ea48cd">
        <w:r w:rsidRPr="0FA519F6" w:rsidR="0FA519F6">
          <w:rPr>
            <w:rStyle w:val="Hyperlink"/>
            <w:rFonts w:ascii="Arial" w:hAnsi="Arial" w:eastAsia="Arial" w:cs="Arial"/>
            <w:sz w:val="22"/>
            <w:szCs w:val="22"/>
          </w:rPr>
          <w:t>https://pmc.ncbi.nlm.nih.gov/</w:t>
        </w:r>
        <w:r w:rsidRPr="0FA519F6" w:rsidR="0FA519F6">
          <w:rPr>
            <w:rStyle w:val="Hyperlink"/>
            <w:rFonts w:ascii="Arial" w:hAnsi="Arial" w:eastAsia="Arial" w:cs="Arial"/>
            <w:sz w:val="22"/>
            <w:szCs w:val="22"/>
          </w:rPr>
          <w:t>articles</w:t>
        </w:r>
        <w:r w:rsidRPr="0FA519F6" w:rsidR="0FA519F6">
          <w:rPr>
            <w:rStyle w:val="Hyperlink"/>
            <w:rFonts w:ascii="Arial" w:hAnsi="Arial" w:eastAsia="Arial" w:cs="Arial"/>
            <w:sz w:val="22"/>
            <w:szCs w:val="22"/>
          </w:rPr>
          <w:t>/PMC4428073/</w:t>
        </w:r>
      </w:hyperlink>
      <w:r w:rsidRPr="0FA519F6" w:rsidR="0FA519F6">
        <w:rPr>
          <w:rFonts w:ascii="Arial" w:hAnsi="Arial" w:eastAsia="Arial" w:cs="Arial"/>
          <w:sz w:val="22"/>
          <w:szCs w:val="22"/>
        </w:rPr>
        <w:t>. Acesso em: 19 mar. 2025.</w:t>
      </w:r>
    </w:p>
    <w:p w:rsidR="00123022" w:rsidP="0FA519F6" w:rsidRDefault="00123022" w14:paraId="3F562D5C" w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NUNES, E. V.; DANDOLINI, G. A.; DE SOUZA, J. A.; VANZIN, T.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A audiodescrição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na produção de materiais didáticos acessíveis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. Cadernos De Informática, v. 6, n. 1, p. 249–252, 2011. </w:t>
      </w:r>
    </w:p>
    <w:p w:rsidRPr="00123022" w:rsidR="00123022" w:rsidP="0FA519F6" w:rsidRDefault="00123022" w14:paraId="2214B896" w14:textId="316D0B45" w14:noSpellErr="1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>Disponível em: </w:t>
      </w:r>
      <w:hyperlink r:id="R7377198c912e4553">
        <w:r w:rsidRPr="0FA519F6" w:rsidR="0FA519F6">
          <w:rPr>
            <w:rStyle w:val="Hyperlink"/>
            <w:rFonts w:ascii="Arial" w:hAnsi="Arial" w:eastAsia="Arial" w:cs="Arial"/>
            <w:sz w:val="22"/>
            <w:szCs w:val="22"/>
          </w:rPr>
          <w:t>https://seer.ufrgs.br/index.php/cadernosdeinformatica/article/view/v6n1p249-252</w:t>
        </w:r>
      </w:hyperlink>
      <w:r w:rsidRPr="0FA519F6" w:rsidR="0FA519F6">
        <w:rPr>
          <w:rFonts w:ascii="Arial" w:hAnsi="Arial" w:eastAsia="Arial" w:cs="Arial"/>
          <w:sz w:val="22"/>
          <w:szCs w:val="22"/>
        </w:rPr>
        <w:t>. Acesso em: 13 jan. 2025.</w:t>
      </w:r>
    </w:p>
    <w:p w:rsidR="00123022" w:rsidP="0FA519F6" w:rsidRDefault="00123022" w14:paraId="529C61BF" w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 xml:space="preserve">OCULAR SOUNDS.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The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Ultimate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Guide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to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Binaural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Audio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: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How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it Works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and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 xml:space="preserve"> Its </w:t>
      </w:r>
      <w:r w:rsidRPr="0FA519F6" w:rsidR="0FA519F6">
        <w:rPr>
          <w:rFonts w:ascii="Arial" w:hAnsi="Arial" w:eastAsia="Arial" w:cs="Arial"/>
          <w:b w:val="1"/>
          <w:bCs w:val="1"/>
          <w:sz w:val="22"/>
          <w:szCs w:val="22"/>
        </w:rPr>
        <w:t>Benefits</w:t>
      </w:r>
      <w:r w:rsidRPr="0FA519F6" w:rsidR="0FA519F6">
        <w:rPr>
          <w:rFonts w:ascii="Arial" w:hAnsi="Arial" w:eastAsia="Arial" w:cs="Arial"/>
          <w:sz w:val="22"/>
          <w:szCs w:val="22"/>
        </w:rPr>
        <w:t xml:space="preserve">. 2023. </w:t>
      </w:r>
    </w:p>
    <w:p w:rsidRPr="00123022" w:rsidR="00123022" w:rsidP="0FA519F6" w:rsidRDefault="00123022" w14:paraId="0FFA20A5" w14:textId="6816ED59" w14:noSpellErr="1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0FA519F6" w:rsidR="0FA519F6">
        <w:rPr>
          <w:rFonts w:ascii="Arial" w:hAnsi="Arial" w:eastAsia="Arial" w:cs="Arial"/>
          <w:sz w:val="22"/>
          <w:szCs w:val="22"/>
        </w:rPr>
        <w:t>Disponível em: </w:t>
      </w:r>
      <w:hyperlink r:id="Rb396305613c64d92">
        <w:r w:rsidRPr="0FA519F6" w:rsidR="0FA519F6">
          <w:rPr>
            <w:rStyle w:val="Hyperlink"/>
            <w:rFonts w:ascii="Arial" w:hAnsi="Arial" w:eastAsia="Arial" w:cs="Arial"/>
            <w:sz w:val="22"/>
            <w:szCs w:val="22"/>
          </w:rPr>
          <w:t>https://ocularsounds.com/blogs/sound-design-tips-tricks/the-ultimate-guide-to-binaural-audio-how-it-works-and-its-benefits</w:t>
        </w:r>
      </w:hyperlink>
      <w:r w:rsidRPr="0FA519F6" w:rsidR="0FA519F6">
        <w:rPr>
          <w:rFonts w:ascii="Arial" w:hAnsi="Arial" w:eastAsia="Arial" w:cs="Arial"/>
          <w:sz w:val="22"/>
          <w:szCs w:val="22"/>
        </w:rPr>
        <w:t>. Acesso em: 19 mar. 2025.</w:t>
      </w:r>
    </w:p>
    <w:p w:rsidRPr="00123022" w:rsidR="00783F0A" w:rsidP="0FA519F6" w:rsidRDefault="00783F0A" w14:paraId="26458864" w14:textId="77777777" w14:noSpellErr="1">
      <w:pPr>
        <w:spacing w:line="240" w:lineRule="auto"/>
        <w:jc w:val="both"/>
        <w:rPr>
          <w:rFonts w:ascii="Arial" w:hAnsi="Arial" w:eastAsia="Arial" w:cs="Arial"/>
          <w:sz w:val="22"/>
          <w:szCs w:val="22"/>
        </w:rPr>
      </w:pPr>
    </w:p>
    <w:sectPr w:rsidRPr="00123022" w:rsidR="00783F0A" w:rsidSect="00123022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E24E2"/>
    <w:multiLevelType w:val="multilevel"/>
    <w:tmpl w:val="7AC6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C473E9F"/>
    <w:multiLevelType w:val="hybridMultilevel"/>
    <w:tmpl w:val="22A44A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F7E38"/>
    <w:multiLevelType w:val="hybridMultilevel"/>
    <w:tmpl w:val="26785362"/>
    <w:lvl w:ilvl="0">
      <w:start w:val="1"/>
      <w:numFmt w:val="decimal"/>
      <w:lvlText w:val="%1."/>
      <w:lvlJc w:val="left"/>
      <w:pPr>
        <w:ind w:left="360" w:hanging="360"/>
      </w:pPr>
      <w:rPr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2F3204"/>
    <w:multiLevelType w:val="multilevel"/>
    <w:tmpl w:val="0A1C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8CC7A30"/>
    <w:multiLevelType w:val="multilevel"/>
    <w:tmpl w:val="9BEA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23969464">
    <w:abstractNumId w:val="0"/>
  </w:num>
  <w:num w:numId="2" w16cid:durableId="1029915735">
    <w:abstractNumId w:val="3"/>
  </w:num>
  <w:num w:numId="3" w16cid:durableId="1586498782">
    <w:abstractNumId w:val="4"/>
  </w:num>
  <w:num w:numId="4" w16cid:durableId="958297350">
    <w:abstractNumId w:val="1"/>
  </w:num>
  <w:num w:numId="5" w16cid:durableId="1860924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22"/>
    <w:rsid w:val="00123022"/>
    <w:rsid w:val="0034018F"/>
    <w:rsid w:val="004C717B"/>
    <w:rsid w:val="00783F0A"/>
    <w:rsid w:val="00F36EF4"/>
    <w:rsid w:val="0FA5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19FB"/>
  <w15:chartTrackingRefBased/>
  <w15:docId w15:val="{80147CC8-AB2E-4A48-A635-4A2F4EE1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30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0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12302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12302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12302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12302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12302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12302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12302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12302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123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02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1230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123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02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1230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0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30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02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230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0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2302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aftrs.edu.au/about/research-and-innovation/precipice/" TargetMode="External" Id="R743334930bb844d3" /><Relationship Type="http://schemas.openxmlformats.org/officeDocument/2006/relationships/hyperlink" Target="https://pmc.ncbi.nlm.nih.gov/articles/PMC4428073/" TargetMode="External" Id="R279dc5de06ea48cd" /><Relationship Type="http://schemas.openxmlformats.org/officeDocument/2006/relationships/hyperlink" Target="https://seer.ufrgs.br/index.php/cadernosdeinformatica/article/view/v6n1p249-252" TargetMode="External" Id="R7377198c912e4553" /><Relationship Type="http://schemas.openxmlformats.org/officeDocument/2006/relationships/hyperlink" Target="https://ocularsounds.com/blogs/sound-design-tips-tricks/the-ultimate-guide-to-binaural-audio-how-it-works-and-its-benefits" TargetMode="External" Id="Rb396305613c64d9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Márcio Wecker</dc:creator>
  <keywords/>
  <dc:description/>
  <lastModifiedBy>Usuário Convidado</lastModifiedBy>
  <revision>2</revision>
  <dcterms:created xsi:type="dcterms:W3CDTF">2025-03-20T13:18:00.0000000Z</dcterms:created>
  <dcterms:modified xsi:type="dcterms:W3CDTF">2025-03-20T14:03:30.5202901Z</dcterms:modified>
</coreProperties>
</file>