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E6B9" w14:textId="4D69AD21" w:rsidR="00584823" w:rsidRDefault="00BF6B7F" w:rsidP="2E8D72AD">
      <w:pPr>
        <w:pBdr>
          <w:top w:val="nil"/>
          <w:left w:val="nil"/>
          <w:bottom w:val="nil"/>
          <w:right w:val="nil"/>
          <w:between w:val="nil"/>
        </w:pBdr>
        <w:spacing w:line="240" w:lineRule="auto"/>
        <w:ind w:left="1" w:hanging="3"/>
        <w:jc w:val="center"/>
        <w:rPr>
          <w:b/>
          <w:bCs/>
          <w:color w:val="000000"/>
          <w:sz w:val="28"/>
          <w:szCs w:val="28"/>
        </w:rPr>
      </w:pPr>
      <w:r w:rsidRPr="2E8D72AD">
        <w:rPr>
          <w:b/>
          <w:bCs/>
          <w:color w:val="000000" w:themeColor="text1"/>
          <w:sz w:val="28"/>
          <w:szCs w:val="28"/>
        </w:rPr>
        <w:t>ORIENTAÇÃO E ACOMPANHAMENT</w:t>
      </w:r>
      <w:r w:rsidR="003E12DE" w:rsidRPr="2E8D72AD">
        <w:rPr>
          <w:b/>
          <w:bCs/>
          <w:color w:val="000000" w:themeColor="text1"/>
          <w:sz w:val="28"/>
          <w:szCs w:val="28"/>
        </w:rPr>
        <w:t>O DE TCC NOS POLOS INTERNACIONAIS: ENGAJAMENTO E RESPONSIVIDADE</w:t>
      </w:r>
    </w:p>
    <w:p w14:paraId="4F24F8E2" w14:textId="664AFEF3" w:rsidR="00584823" w:rsidRPr="00F92BD8" w:rsidRDefault="00FA0C25">
      <w:pPr>
        <w:pBdr>
          <w:top w:val="nil"/>
          <w:left w:val="nil"/>
          <w:bottom w:val="nil"/>
          <w:right w:val="nil"/>
          <w:between w:val="nil"/>
        </w:pBdr>
        <w:spacing w:line="240" w:lineRule="auto"/>
        <w:ind w:left="0"/>
        <w:jc w:val="center"/>
        <w:rPr>
          <w:i/>
          <w:color w:val="000000"/>
          <w:sz w:val="24"/>
          <w:szCs w:val="24"/>
          <w:lang w:val="en-US"/>
        </w:rPr>
      </w:pPr>
      <w:r w:rsidRPr="2E8D72AD">
        <w:rPr>
          <w:i/>
          <w:iCs/>
          <w:color w:val="000000" w:themeColor="text1"/>
          <w:sz w:val="24"/>
          <w:szCs w:val="24"/>
          <w:lang w:val="en-US"/>
        </w:rPr>
        <w:t>ORIENTATION AND MONITORING OF TCC IN INTERNATIONAL POLES: ENGAGEMENT AND RESPONSIVENESS</w:t>
      </w:r>
    </w:p>
    <w:p w14:paraId="66D0C32A" w14:textId="71297B0B" w:rsidR="0D01CC1B" w:rsidRDefault="0D01CC1B" w:rsidP="2E8D72AD">
      <w:pPr>
        <w:ind w:left="0"/>
        <w:jc w:val="center"/>
        <w:rPr>
          <w:rFonts w:ascii="Open Sans" w:eastAsia="Open Sans" w:hAnsi="Open Sans" w:cs="Open Sans"/>
          <w:color w:val="000000" w:themeColor="text1"/>
          <w:sz w:val="21"/>
          <w:szCs w:val="21"/>
        </w:rPr>
      </w:pPr>
      <w:r w:rsidRPr="2E8D72AD">
        <w:rPr>
          <w:rFonts w:ascii="Open Sans" w:eastAsia="Open Sans" w:hAnsi="Open Sans" w:cs="Open Sans"/>
          <w:color w:val="000000" w:themeColor="text1"/>
          <w:sz w:val="21"/>
          <w:szCs w:val="21"/>
        </w:rPr>
        <w:t>Ana Paula Soares – UNINTER; Jucimara de Barros Bandeira – UNINTER</w:t>
      </w:r>
      <w:r w:rsidR="00620995">
        <w:rPr>
          <w:rFonts w:ascii="Open Sans" w:eastAsia="Open Sans" w:hAnsi="Open Sans" w:cs="Open Sans"/>
          <w:color w:val="000000" w:themeColor="text1"/>
          <w:sz w:val="21"/>
          <w:szCs w:val="21"/>
        </w:rPr>
        <w:t xml:space="preserve">; </w:t>
      </w:r>
      <w:r w:rsidR="206BE1AB" w:rsidRPr="2E8D72AD">
        <w:rPr>
          <w:rFonts w:ascii="Open Sans" w:eastAsia="Open Sans" w:hAnsi="Open Sans" w:cs="Open Sans"/>
          <w:color w:val="000000" w:themeColor="text1"/>
          <w:sz w:val="21"/>
          <w:szCs w:val="21"/>
        </w:rPr>
        <w:t xml:space="preserve">Katia Cristina </w:t>
      </w:r>
      <w:proofErr w:type="spellStart"/>
      <w:r w:rsidR="206BE1AB" w:rsidRPr="2E8D72AD">
        <w:rPr>
          <w:rFonts w:ascii="Open Sans" w:eastAsia="Open Sans" w:hAnsi="Open Sans" w:cs="Open Sans"/>
          <w:color w:val="000000" w:themeColor="text1"/>
          <w:sz w:val="21"/>
          <w:szCs w:val="21"/>
        </w:rPr>
        <w:t>Dambiski</w:t>
      </w:r>
      <w:proofErr w:type="spellEnd"/>
      <w:r w:rsidR="206BE1AB" w:rsidRPr="2E8D72AD">
        <w:rPr>
          <w:rFonts w:ascii="Open Sans" w:eastAsia="Open Sans" w:hAnsi="Open Sans" w:cs="Open Sans"/>
          <w:color w:val="000000" w:themeColor="text1"/>
          <w:sz w:val="21"/>
          <w:szCs w:val="21"/>
        </w:rPr>
        <w:t xml:space="preserve"> Soares – UNINTER;</w:t>
      </w:r>
      <w:r w:rsidR="1357B0D3" w:rsidRPr="2E8D72AD">
        <w:rPr>
          <w:rFonts w:ascii="Open Sans" w:eastAsia="Open Sans" w:hAnsi="Open Sans" w:cs="Open Sans"/>
          <w:color w:val="000000" w:themeColor="text1"/>
          <w:sz w:val="21"/>
          <w:szCs w:val="21"/>
        </w:rPr>
        <w:t xml:space="preserve"> Lisandra </w:t>
      </w:r>
      <w:proofErr w:type="spellStart"/>
      <w:r w:rsidR="1357B0D3" w:rsidRPr="2E8D72AD">
        <w:rPr>
          <w:rFonts w:ascii="Open Sans" w:eastAsia="Open Sans" w:hAnsi="Open Sans" w:cs="Open Sans"/>
          <w:color w:val="000000" w:themeColor="text1"/>
          <w:sz w:val="21"/>
          <w:szCs w:val="21"/>
        </w:rPr>
        <w:t>Babireski</w:t>
      </w:r>
      <w:proofErr w:type="spellEnd"/>
      <w:r w:rsidR="1357B0D3" w:rsidRPr="2E8D72AD">
        <w:rPr>
          <w:rFonts w:ascii="Open Sans" w:eastAsia="Open Sans" w:hAnsi="Open Sans" w:cs="Open Sans"/>
          <w:color w:val="000000" w:themeColor="text1"/>
          <w:sz w:val="21"/>
          <w:szCs w:val="21"/>
        </w:rPr>
        <w:t xml:space="preserve"> </w:t>
      </w:r>
      <w:proofErr w:type="spellStart"/>
      <w:r w:rsidR="1357B0D3" w:rsidRPr="2E8D72AD">
        <w:rPr>
          <w:rFonts w:ascii="Open Sans" w:eastAsia="Open Sans" w:hAnsi="Open Sans" w:cs="Open Sans"/>
          <w:color w:val="000000" w:themeColor="text1"/>
          <w:sz w:val="21"/>
          <w:szCs w:val="21"/>
        </w:rPr>
        <w:t>Barcia</w:t>
      </w:r>
      <w:proofErr w:type="spellEnd"/>
      <w:r w:rsidR="1357B0D3" w:rsidRPr="2E8D72AD">
        <w:rPr>
          <w:rFonts w:ascii="Open Sans" w:eastAsia="Open Sans" w:hAnsi="Open Sans" w:cs="Open Sans"/>
          <w:color w:val="000000" w:themeColor="text1"/>
          <w:sz w:val="21"/>
          <w:szCs w:val="21"/>
        </w:rPr>
        <w:t xml:space="preserve"> da Silva – UNINTER</w:t>
      </w:r>
      <w:r w:rsidR="007A3484">
        <w:rPr>
          <w:rFonts w:ascii="Open Sans" w:eastAsia="Open Sans" w:hAnsi="Open Sans" w:cs="Open Sans"/>
          <w:color w:val="000000" w:themeColor="text1"/>
          <w:sz w:val="21"/>
          <w:szCs w:val="21"/>
        </w:rPr>
        <w:t>;</w:t>
      </w:r>
      <w:r w:rsidR="1357B0D3" w:rsidRPr="2E8D72AD">
        <w:rPr>
          <w:rFonts w:ascii="Open Sans" w:eastAsia="Open Sans" w:hAnsi="Open Sans" w:cs="Open Sans"/>
          <w:color w:val="000000" w:themeColor="text1"/>
          <w:sz w:val="21"/>
          <w:szCs w:val="21"/>
        </w:rPr>
        <w:t xml:space="preserve"> Rita de Cassia </w:t>
      </w:r>
      <w:proofErr w:type="spellStart"/>
      <w:r w:rsidR="1357B0D3" w:rsidRPr="2E8D72AD">
        <w:rPr>
          <w:rFonts w:ascii="Open Sans" w:eastAsia="Open Sans" w:hAnsi="Open Sans" w:cs="Open Sans"/>
          <w:color w:val="000000" w:themeColor="text1"/>
          <w:sz w:val="21"/>
          <w:szCs w:val="21"/>
        </w:rPr>
        <w:t>Turmann</w:t>
      </w:r>
      <w:proofErr w:type="spellEnd"/>
      <w:r w:rsidR="6F5749FA" w:rsidRPr="2E8D72AD">
        <w:rPr>
          <w:rFonts w:ascii="Open Sans" w:eastAsia="Open Sans" w:hAnsi="Open Sans" w:cs="Open Sans"/>
          <w:color w:val="000000" w:themeColor="text1"/>
          <w:sz w:val="21"/>
          <w:szCs w:val="21"/>
        </w:rPr>
        <w:t xml:space="preserve"> </w:t>
      </w:r>
      <w:proofErr w:type="spellStart"/>
      <w:r w:rsidR="6F5749FA" w:rsidRPr="2E8D72AD">
        <w:rPr>
          <w:rFonts w:ascii="Open Sans" w:eastAsia="Open Sans" w:hAnsi="Open Sans" w:cs="Open Sans"/>
          <w:color w:val="000000" w:themeColor="text1"/>
          <w:sz w:val="21"/>
          <w:szCs w:val="21"/>
        </w:rPr>
        <w:t>Tuchinski</w:t>
      </w:r>
      <w:proofErr w:type="spellEnd"/>
      <w:r w:rsidR="1357B0D3" w:rsidRPr="2E8D72AD">
        <w:rPr>
          <w:rFonts w:ascii="Open Sans" w:eastAsia="Open Sans" w:hAnsi="Open Sans" w:cs="Open Sans"/>
          <w:color w:val="000000" w:themeColor="text1"/>
          <w:sz w:val="21"/>
          <w:szCs w:val="21"/>
        </w:rPr>
        <w:t xml:space="preserve"> – UNINTER</w:t>
      </w:r>
      <w:r w:rsidR="00C5509E">
        <w:rPr>
          <w:rFonts w:ascii="Open Sans" w:eastAsia="Open Sans" w:hAnsi="Open Sans" w:cs="Open Sans"/>
          <w:color w:val="000000" w:themeColor="text1"/>
          <w:sz w:val="21"/>
          <w:szCs w:val="21"/>
        </w:rPr>
        <w:t>;</w:t>
      </w:r>
      <w:r w:rsidR="1032D7AA" w:rsidRPr="2E8D72AD">
        <w:rPr>
          <w:rFonts w:ascii="Open Sans" w:eastAsia="Open Sans" w:hAnsi="Open Sans" w:cs="Open Sans"/>
          <w:color w:val="000000" w:themeColor="text1"/>
          <w:sz w:val="21"/>
          <w:szCs w:val="21"/>
        </w:rPr>
        <w:t xml:space="preserve"> Waldirene </w:t>
      </w:r>
      <w:proofErr w:type="spellStart"/>
      <w:r w:rsidR="1032D7AA" w:rsidRPr="2E8D72AD">
        <w:rPr>
          <w:rFonts w:ascii="Open Sans" w:eastAsia="Open Sans" w:hAnsi="Open Sans" w:cs="Open Sans"/>
          <w:color w:val="000000" w:themeColor="text1"/>
          <w:sz w:val="21"/>
          <w:szCs w:val="21"/>
        </w:rPr>
        <w:t>Sawozuk</w:t>
      </w:r>
      <w:proofErr w:type="spellEnd"/>
      <w:r w:rsidR="1032D7AA" w:rsidRPr="2E8D72AD">
        <w:rPr>
          <w:rFonts w:ascii="Open Sans" w:eastAsia="Open Sans" w:hAnsi="Open Sans" w:cs="Open Sans"/>
          <w:color w:val="000000" w:themeColor="text1"/>
          <w:sz w:val="21"/>
          <w:szCs w:val="21"/>
        </w:rPr>
        <w:t xml:space="preserve"> Bellardo – UNINTER  </w:t>
      </w:r>
    </w:p>
    <w:p w14:paraId="7A0E068C" w14:textId="34B17936" w:rsidR="00261792" w:rsidRDefault="00070F64" w:rsidP="2E8D72AD">
      <w:pPr>
        <w:ind w:left="0"/>
        <w:jc w:val="center"/>
        <w:rPr>
          <w:rFonts w:ascii="Open Sans" w:eastAsia="Open Sans" w:hAnsi="Open Sans" w:cs="Open Sans"/>
          <w:color w:val="000000" w:themeColor="text1"/>
          <w:sz w:val="21"/>
          <w:szCs w:val="21"/>
        </w:rPr>
      </w:pPr>
      <w:r>
        <w:rPr>
          <w:rFonts w:ascii="Open Sans" w:eastAsia="Open Sans" w:hAnsi="Open Sans" w:cs="Open Sans"/>
          <w:color w:val="000000" w:themeColor="text1"/>
          <w:sz w:val="21"/>
          <w:szCs w:val="21"/>
        </w:rPr>
        <w:t>&lt;</w:t>
      </w:r>
      <w:hyperlink r:id="rId10" w:history="1">
        <w:r w:rsidRPr="00D572B2">
          <w:rPr>
            <w:rStyle w:val="Hyperlink"/>
            <w:rFonts w:ascii="Open Sans" w:eastAsia="Open Sans" w:hAnsi="Open Sans" w:cs="Open Sans"/>
            <w:sz w:val="21"/>
            <w:szCs w:val="21"/>
          </w:rPr>
          <w:t>ana.so@uninter.com</w:t>
        </w:r>
      </w:hyperlink>
      <w:r>
        <w:rPr>
          <w:rFonts w:ascii="Open Sans" w:eastAsia="Open Sans" w:hAnsi="Open Sans" w:cs="Open Sans"/>
          <w:sz w:val="21"/>
          <w:szCs w:val="21"/>
        </w:rPr>
        <w:t>&gt;</w:t>
      </w:r>
      <w:r w:rsidR="00620995">
        <w:rPr>
          <w:rFonts w:ascii="Open Sans" w:eastAsia="Open Sans" w:hAnsi="Open Sans" w:cs="Open Sans"/>
          <w:sz w:val="21"/>
          <w:szCs w:val="21"/>
        </w:rPr>
        <w:t xml:space="preserve"> &lt;</w:t>
      </w:r>
      <w:hyperlink r:id="rId11" w:history="1">
        <w:r w:rsidR="00620995" w:rsidRPr="00D572B2">
          <w:rPr>
            <w:rStyle w:val="Hyperlink"/>
            <w:rFonts w:ascii="Open Sans" w:eastAsia="Open Sans" w:hAnsi="Open Sans" w:cs="Open Sans"/>
            <w:sz w:val="21"/>
            <w:szCs w:val="21"/>
          </w:rPr>
          <w:t>jucimara.b@uninter.com</w:t>
        </w:r>
      </w:hyperlink>
      <w:r w:rsidR="00620995">
        <w:rPr>
          <w:rFonts w:ascii="Open Sans" w:eastAsia="Open Sans" w:hAnsi="Open Sans" w:cs="Open Sans"/>
          <w:color w:val="000000" w:themeColor="text1"/>
          <w:sz w:val="21"/>
          <w:szCs w:val="21"/>
        </w:rPr>
        <w:t xml:space="preserve">&gt; </w:t>
      </w:r>
      <w:r w:rsidR="007A3484">
        <w:rPr>
          <w:rFonts w:ascii="Open Sans" w:eastAsia="Open Sans" w:hAnsi="Open Sans" w:cs="Open Sans"/>
          <w:color w:val="000000" w:themeColor="text1"/>
          <w:sz w:val="21"/>
          <w:szCs w:val="21"/>
        </w:rPr>
        <w:t>&lt;</w:t>
      </w:r>
      <w:hyperlink r:id="rId12" w:history="1">
        <w:r w:rsidR="007A3484" w:rsidRPr="00D572B2">
          <w:rPr>
            <w:rStyle w:val="Hyperlink"/>
            <w:rFonts w:ascii="Open Sans" w:eastAsia="Open Sans" w:hAnsi="Open Sans" w:cs="Open Sans"/>
            <w:sz w:val="21"/>
            <w:szCs w:val="21"/>
          </w:rPr>
          <w:t>katia.s@uninter.com</w:t>
        </w:r>
      </w:hyperlink>
      <w:r w:rsidR="007A3484">
        <w:rPr>
          <w:rFonts w:ascii="Open Sans" w:eastAsia="Open Sans" w:hAnsi="Open Sans" w:cs="Open Sans"/>
          <w:color w:val="000000" w:themeColor="text1"/>
          <w:sz w:val="21"/>
          <w:szCs w:val="21"/>
        </w:rPr>
        <w:t>&gt; &lt;</w:t>
      </w:r>
      <w:hyperlink r:id="rId13" w:history="1">
        <w:r w:rsidR="007A3484" w:rsidRPr="00D572B2">
          <w:rPr>
            <w:rStyle w:val="Hyperlink"/>
            <w:rFonts w:ascii="Open Sans" w:eastAsia="Open Sans" w:hAnsi="Open Sans" w:cs="Open Sans"/>
            <w:sz w:val="21"/>
            <w:szCs w:val="21"/>
          </w:rPr>
          <w:t>lisandra.s@uninter.com</w:t>
        </w:r>
      </w:hyperlink>
      <w:r w:rsidR="007A3484">
        <w:rPr>
          <w:rFonts w:ascii="Open Sans" w:eastAsia="Open Sans" w:hAnsi="Open Sans" w:cs="Open Sans"/>
          <w:sz w:val="21"/>
          <w:szCs w:val="21"/>
        </w:rPr>
        <w:t>&gt;</w:t>
      </w:r>
      <w:r w:rsidR="00C5509E">
        <w:rPr>
          <w:rFonts w:ascii="Open Sans" w:eastAsia="Open Sans" w:hAnsi="Open Sans" w:cs="Open Sans"/>
          <w:sz w:val="21"/>
          <w:szCs w:val="21"/>
        </w:rPr>
        <w:t xml:space="preserve"> </w:t>
      </w:r>
      <w:r w:rsidR="00EF7238">
        <w:rPr>
          <w:rFonts w:ascii="Open Sans" w:eastAsia="Open Sans" w:hAnsi="Open Sans" w:cs="Open Sans"/>
          <w:sz w:val="21"/>
          <w:szCs w:val="21"/>
        </w:rPr>
        <w:t>&lt;</w:t>
      </w:r>
      <w:hyperlink r:id="rId14" w:history="1">
        <w:r w:rsidR="00EF7238" w:rsidRPr="00D572B2">
          <w:rPr>
            <w:rStyle w:val="Hyperlink"/>
            <w:rFonts w:ascii="Open Sans" w:eastAsia="Open Sans" w:hAnsi="Open Sans" w:cs="Open Sans"/>
            <w:sz w:val="21"/>
            <w:szCs w:val="21"/>
          </w:rPr>
          <w:t>rita.tu@uninter.com</w:t>
        </w:r>
      </w:hyperlink>
      <w:r w:rsidR="00EF7238">
        <w:t>&gt; &lt;</w:t>
      </w:r>
      <w:r w:rsidR="00EF7238" w:rsidRPr="2E8D72AD">
        <w:rPr>
          <w:rFonts w:ascii="Open Sans" w:eastAsia="Open Sans" w:hAnsi="Open Sans" w:cs="Open Sans"/>
          <w:color w:val="000000" w:themeColor="text1"/>
          <w:sz w:val="21"/>
          <w:szCs w:val="21"/>
        </w:rPr>
        <w:t>(</w:t>
      </w:r>
      <w:hyperlink r:id="rId15">
        <w:r w:rsidR="00EF7238" w:rsidRPr="2E8D72AD">
          <w:rPr>
            <w:rStyle w:val="Hyperlink"/>
            <w:rFonts w:ascii="Open Sans" w:eastAsia="Open Sans" w:hAnsi="Open Sans" w:cs="Open Sans"/>
            <w:sz w:val="21"/>
            <w:szCs w:val="21"/>
          </w:rPr>
          <w:t>waldirene.b@uninter.com</w:t>
        </w:r>
      </w:hyperlink>
      <w:r w:rsidR="00EF7238">
        <w:t>&gt;</w:t>
      </w:r>
    </w:p>
    <w:p w14:paraId="530C4743" w14:textId="77777777" w:rsidR="00584823" w:rsidRDefault="00584823">
      <w:pPr>
        <w:ind w:left="0"/>
      </w:pPr>
    </w:p>
    <w:p w14:paraId="1916AFA2" w14:textId="0C6F4074" w:rsidR="00584823" w:rsidRDefault="00F92BD8">
      <w:pPr>
        <w:ind w:left="0"/>
      </w:pPr>
      <w:r>
        <w:rPr>
          <w:b/>
        </w:rPr>
        <w:t>Resumo</w:t>
      </w:r>
      <w:r>
        <w:t xml:space="preserve">. </w:t>
      </w:r>
      <w:r w:rsidR="00352282" w:rsidRPr="00352282">
        <w:t xml:space="preserve">Este artigo tem como objeto de investigação o processo de orientação e acompanhamento do Trabalho de Conclusão de Curso (TCC) em Polos Internacionais. Trata-se de Relato de Experiência ancorado na revisão de literatura e análise documental. Além do Manual de TCC 2024 </w:t>
      </w:r>
      <w:r w:rsidR="00BA6959">
        <w:t>da IES</w:t>
      </w:r>
      <w:r w:rsidR="00352282" w:rsidRPr="00352282">
        <w:t>, foram conceitos basilares desse artigo as acepções de infosfera (FLORIDI, 2010 e 2014), metamorfose da escola (NÓVOA, 2022), experiência (LARROSA, 2015) e vivência (VIGOTSKI, 2018). Seu objetivo foi discutir as mudanças no perfil do egresso dos cursos de licenciatura e a contribuição do TCC nesse processo, concluindo que engajamento e responsividade se fortalecem com a pesquisa.</w:t>
      </w:r>
    </w:p>
    <w:p w14:paraId="165C889C" w14:textId="4967A57E" w:rsidR="00584823" w:rsidRDefault="00F92BD8">
      <w:pPr>
        <w:ind w:left="0"/>
      </w:pPr>
      <w:r>
        <w:rPr>
          <w:b/>
        </w:rPr>
        <w:t>Palavras-chave</w:t>
      </w:r>
      <w:r>
        <w:t xml:space="preserve">: </w:t>
      </w:r>
      <w:r w:rsidR="008C2975">
        <w:t>t</w:t>
      </w:r>
      <w:r w:rsidR="00C11436" w:rsidRPr="00C11436">
        <w:t xml:space="preserve">rabalho de </w:t>
      </w:r>
      <w:r w:rsidR="008C2975">
        <w:t>c</w:t>
      </w:r>
      <w:r w:rsidR="00C11436" w:rsidRPr="00C11436">
        <w:t xml:space="preserve">onclusão de </w:t>
      </w:r>
      <w:r w:rsidR="008C2975">
        <w:t>c</w:t>
      </w:r>
      <w:r w:rsidR="00C11436" w:rsidRPr="00C11436">
        <w:t>urso</w:t>
      </w:r>
      <w:r w:rsidR="008C2975">
        <w:t xml:space="preserve"> (TCC)</w:t>
      </w:r>
      <w:r w:rsidR="00C11436" w:rsidRPr="00C11436">
        <w:t xml:space="preserve">; </w:t>
      </w:r>
      <w:r w:rsidR="008C2975">
        <w:t>e</w:t>
      </w:r>
      <w:r w:rsidR="00C11436" w:rsidRPr="00C11436">
        <w:t xml:space="preserve">ngajamento; </w:t>
      </w:r>
      <w:r w:rsidR="008C2975">
        <w:t>r</w:t>
      </w:r>
      <w:r w:rsidR="00C11436" w:rsidRPr="00C11436">
        <w:t xml:space="preserve">esponsividade; </w:t>
      </w:r>
      <w:r w:rsidR="008C2975">
        <w:t>i</w:t>
      </w:r>
      <w:r w:rsidR="00C11436" w:rsidRPr="00C11436">
        <w:t>nfosfera.</w:t>
      </w:r>
    </w:p>
    <w:p w14:paraId="76F18955" w14:textId="41571E23" w:rsidR="00584823" w:rsidRPr="00F92BD8" w:rsidRDefault="00F92BD8">
      <w:pPr>
        <w:ind w:left="0"/>
        <w:rPr>
          <w:lang w:val="en-US"/>
        </w:rPr>
      </w:pPr>
      <w:r w:rsidRPr="00F92BD8">
        <w:rPr>
          <w:b/>
          <w:lang w:val="en-US"/>
        </w:rPr>
        <w:t>Abstract</w:t>
      </w:r>
      <w:r w:rsidRPr="00F92BD8">
        <w:rPr>
          <w:lang w:val="en-US"/>
        </w:rPr>
        <w:t xml:space="preserve">. </w:t>
      </w:r>
      <w:r w:rsidR="00C11436" w:rsidRPr="00C11436">
        <w:rPr>
          <w:lang w:val="en-US"/>
        </w:rPr>
        <w:t>This article's object of investigation is the process of accompaniment and orientation of the Course Completion Project (CCP) in International Centers.  This is an Experience Report anchored in literature review and documentary analysis. In addition to the CCP 2024 Manual, this article used as fundamental concepts the ideas of infosphere (FLORIDI, 2010 and 2014), school metamorphosis (NÓVOA, 2022), experience (LARROSA, 2015) and ‘</w:t>
      </w:r>
      <w:proofErr w:type="spellStart"/>
      <w:r w:rsidR="00C11436" w:rsidRPr="00C11436">
        <w:rPr>
          <w:lang w:val="en-US"/>
        </w:rPr>
        <w:t>perezhivanie</w:t>
      </w:r>
      <w:proofErr w:type="spellEnd"/>
      <w:r w:rsidR="00C11436" w:rsidRPr="00C11436">
        <w:rPr>
          <w:lang w:val="en-US"/>
        </w:rPr>
        <w:t>’ (VIGOTSKI, 2018). Its objective was to discuss the changes in the profile of graduates from undergraduate courses and the contribution of CCP in this process, concluding that engagement and responsiveness are strengthened with research projects</w:t>
      </w:r>
      <w:r w:rsidRPr="00F92BD8">
        <w:rPr>
          <w:lang w:val="en-US"/>
        </w:rPr>
        <w:t>.</w:t>
      </w:r>
    </w:p>
    <w:p w14:paraId="2B2E78B7" w14:textId="4DBB5ED1" w:rsidR="00584823" w:rsidRPr="00F92BD8" w:rsidRDefault="00F92BD8">
      <w:pPr>
        <w:ind w:left="0"/>
        <w:rPr>
          <w:lang w:val="en-US"/>
        </w:rPr>
      </w:pPr>
      <w:r w:rsidRPr="00F92BD8">
        <w:rPr>
          <w:b/>
          <w:lang w:val="en-US"/>
        </w:rPr>
        <w:t>Keywords</w:t>
      </w:r>
      <w:r w:rsidRPr="00F92BD8">
        <w:rPr>
          <w:lang w:val="en-US"/>
        </w:rPr>
        <w:t xml:space="preserve">: </w:t>
      </w:r>
      <w:r w:rsidR="008C2975">
        <w:rPr>
          <w:lang w:val="en-US"/>
        </w:rPr>
        <w:t>c</w:t>
      </w:r>
      <w:r w:rsidR="00802A99" w:rsidRPr="00802A99">
        <w:rPr>
          <w:lang w:val="en-US"/>
        </w:rPr>
        <w:t xml:space="preserve">ourse </w:t>
      </w:r>
      <w:r w:rsidR="008C2975">
        <w:rPr>
          <w:lang w:val="en-US"/>
        </w:rPr>
        <w:t>c</w:t>
      </w:r>
      <w:r w:rsidR="00802A99" w:rsidRPr="00802A99">
        <w:rPr>
          <w:lang w:val="en-US"/>
        </w:rPr>
        <w:t xml:space="preserve">ompletion </w:t>
      </w:r>
      <w:r w:rsidR="008C2975">
        <w:rPr>
          <w:lang w:val="en-US"/>
        </w:rPr>
        <w:t>p</w:t>
      </w:r>
      <w:r w:rsidR="00802A99" w:rsidRPr="00802A99">
        <w:rPr>
          <w:lang w:val="en-US"/>
        </w:rPr>
        <w:t xml:space="preserve">roject (CCP); </w:t>
      </w:r>
      <w:r w:rsidR="008C2975">
        <w:rPr>
          <w:lang w:val="en-US"/>
        </w:rPr>
        <w:t>e</w:t>
      </w:r>
      <w:r w:rsidR="00802A99" w:rsidRPr="00802A99">
        <w:rPr>
          <w:lang w:val="en-US"/>
        </w:rPr>
        <w:t xml:space="preserve">ngagement; </w:t>
      </w:r>
      <w:r w:rsidR="008C2975">
        <w:rPr>
          <w:lang w:val="en-US"/>
        </w:rPr>
        <w:t>r</w:t>
      </w:r>
      <w:r w:rsidR="00802A99" w:rsidRPr="00802A99">
        <w:rPr>
          <w:lang w:val="en-US"/>
        </w:rPr>
        <w:t xml:space="preserve">esponsiveness; </w:t>
      </w:r>
      <w:r w:rsidR="008C2975">
        <w:rPr>
          <w:lang w:val="en-US"/>
        </w:rPr>
        <w:t>i</w:t>
      </w:r>
      <w:r w:rsidR="00802A99" w:rsidRPr="00802A99">
        <w:rPr>
          <w:lang w:val="en-US"/>
        </w:rPr>
        <w:t>nfosphere</w:t>
      </w:r>
      <w:r w:rsidRPr="00F92BD8">
        <w:rPr>
          <w:lang w:val="en-US"/>
        </w:rPr>
        <w:t>.</w:t>
      </w:r>
    </w:p>
    <w:p w14:paraId="30D9E19E" w14:textId="77777777" w:rsidR="00584823" w:rsidRPr="00F92BD8" w:rsidRDefault="00584823">
      <w:pPr>
        <w:ind w:left="0"/>
        <w:rPr>
          <w:lang w:val="en-US"/>
        </w:rPr>
      </w:pPr>
      <w:bookmarkStart w:id="0" w:name="_heading=h.7465e9q5k20t" w:colFirst="0" w:colLast="0"/>
      <w:bookmarkEnd w:id="0"/>
    </w:p>
    <w:p w14:paraId="31B13BC6" w14:textId="77777777" w:rsidR="00584823" w:rsidRDefault="00F92BD8">
      <w:pPr>
        <w:keepNext/>
        <w:pBdr>
          <w:top w:val="nil"/>
          <w:left w:val="nil"/>
          <w:bottom w:val="nil"/>
          <w:right w:val="nil"/>
          <w:between w:val="nil"/>
        </w:pBdr>
        <w:spacing w:line="240" w:lineRule="auto"/>
        <w:ind w:left="1" w:hanging="3"/>
        <w:jc w:val="left"/>
        <w:rPr>
          <w:b/>
          <w:color w:val="000000"/>
          <w:sz w:val="28"/>
          <w:szCs w:val="28"/>
        </w:rPr>
      </w:pPr>
      <w:r>
        <w:rPr>
          <w:b/>
          <w:color w:val="000000"/>
          <w:sz w:val="28"/>
          <w:szCs w:val="28"/>
        </w:rPr>
        <w:t>1 Introdução</w:t>
      </w:r>
    </w:p>
    <w:p w14:paraId="2166DAE2" w14:textId="02EC23CD" w:rsidR="00BB70D9" w:rsidRDefault="00BB70D9" w:rsidP="00BB70D9">
      <w:pPr>
        <w:ind w:left="0"/>
      </w:pPr>
      <w:r>
        <w:t>Para iniciar os componentes introdutórios do texto, é importante mencionar que a educação contemporânea passa por inúmeras transformações. Nesta compreensão, torna-se fundamental construir um olhar significativo para a educação, historicamente baseada em modelos lineares e centrados no professor,</w:t>
      </w:r>
      <w:r w:rsidR="52B4BE77">
        <w:t xml:space="preserve"> os quais</w:t>
      </w:r>
      <w:r>
        <w:t xml:space="preserve"> enfrenta</w:t>
      </w:r>
      <w:r w:rsidR="3E70BFA2">
        <w:t>m</w:t>
      </w:r>
      <w:r>
        <w:t xml:space="preserve"> desafios inéditos com o advento da era digital. </w:t>
      </w:r>
      <w:r w:rsidR="46EBB814">
        <w:t>Assevera-se, assim,</w:t>
      </w:r>
      <w:r>
        <w:t xml:space="preserve"> que as tecnologias oferecem novas formas de interação, acesso à informação e construção do conhecimento, exigindo que as instituições de ensino superior se adaptem a essa realidade emergente. Diante disso, a modalidade E</w:t>
      </w:r>
      <w:r w:rsidR="004A5996">
        <w:t>a</w:t>
      </w:r>
      <w:r>
        <w:t>D ganha destaque, oferecendo maior flexibilidade e autonomia aos estudantes. Des</w:t>
      </w:r>
      <w:r w:rsidR="5CFEEBB0">
        <w:t>tarte</w:t>
      </w:r>
      <w:r w:rsidR="00CF1875">
        <w:t>,</w:t>
      </w:r>
      <w:r>
        <w:t xml:space="preserve"> acentua-se a eficácia desse modelo na adoção de práticas de orientação que promovam a aprendizagem ativa, superando os desafios impostos pela separação física e pela necessidade de acompanhar as incessantes inovações tecnológicas. </w:t>
      </w:r>
    </w:p>
    <w:p w14:paraId="34FBC2C8" w14:textId="77777777" w:rsidR="00BB70D9" w:rsidRDefault="00BB70D9" w:rsidP="00BB70D9">
      <w:pPr>
        <w:ind w:left="0"/>
      </w:pPr>
      <w:r>
        <w:t xml:space="preserve">Diante desse enfrentamento, este artigo parte da seguinte problemática:  o Trabalho de Conclusão de Curso (TCC) pode ser um catalisador de mudanças, proporcionando aos estudantes de Polos internacionais a oportunidade de desenvolver habilidades de pesquisa e análise crítica de problemas no seu contexto?  </w:t>
      </w:r>
    </w:p>
    <w:p w14:paraId="08CB6351" w14:textId="4B4A6DFD" w:rsidR="00BB70D9" w:rsidRDefault="00BB70D9" w:rsidP="00BB70D9">
      <w:pPr>
        <w:ind w:left="0"/>
      </w:pPr>
      <w:r>
        <w:lastRenderedPageBreak/>
        <w:t xml:space="preserve">É na tentativa e busca de respostas a esta problemática que se textualiza o repensar do perfil do egresso, </w:t>
      </w:r>
      <w:r w:rsidR="003130DA">
        <w:t>almejando a formação de</w:t>
      </w:r>
      <w:r>
        <w:t xml:space="preserve"> profissionais com um repertório de conhecimentos e habilidades que lhes permitam adaptar-se a um ambiente </w:t>
      </w:r>
      <w:r w:rsidR="0030321D">
        <w:t>de trabalho</w:t>
      </w:r>
      <w:r>
        <w:t xml:space="preserve"> em constante mutação. A construção de um corpus profissional que transcenda os limites disciplinares e promova a interação entre diferentes áreas do conhecimento se torna, assim, um imperativo para a formação de profissionais do século XXI.  </w:t>
      </w:r>
    </w:p>
    <w:p w14:paraId="124D6B3C" w14:textId="60F63315" w:rsidR="00BB70D9" w:rsidRDefault="00BB70D9" w:rsidP="00BB70D9">
      <w:pPr>
        <w:ind w:left="0"/>
      </w:pPr>
      <w:r>
        <w:t xml:space="preserve">A era digital, caracterizada pela rápida obsolescência do conhecimento e pela crescente interdisciplinaridade, exige uma reformulação profunda dos cursos de graduação. A fragmentação disciplinar, característica dos modelos tradicionais de ensino, não mais atende às demandas do mundo do trabalho, </w:t>
      </w:r>
      <w:r w:rsidR="006547BB">
        <w:t>d</w:t>
      </w:r>
      <w:r>
        <w:t xml:space="preserve">a educação, </w:t>
      </w:r>
      <w:r w:rsidR="006547BB">
        <w:t>d</w:t>
      </w:r>
      <w:r>
        <w:t xml:space="preserve">os modos de viver em sociedade, </w:t>
      </w:r>
      <w:r w:rsidR="006547BB">
        <w:t>d</w:t>
      </w:r>
      <w:r>
        <w:t xml:space="preserve">os processos de socialização e </w:t>
      </w:r>
      <w:r w:rsidR="006547BB">
        <w:t>d</w:t>
      </w:r>
      <w:r>
        <w:t xml:space="preserve">as formas de comunicação. </w:t>
      </w:r>
    </w:p>
    <w:p w14:paraId="0981B704" w14:textId="514FDFA7" w:rsidR="00BB70D9" w:rsidRDefault="00BB70D9" w:rsidP="00BB70D9">
      <w:pPr>
        <w:ind w:left="0"/>
      </w:pPr>
      <w:r>
        <w:t>Nes</w:t>
      </w:r>
      <w:r w:rsidR="6BB307E3">
        <w:t>s</w:t>
      </w:r>
      <w:r>
        <w:t xml:space="preserve">a esteira, a sociedade contemporânea, marcada pela revolução digital e pela constante transformação, </w:t>
      </w:r>
      <w:r w:rsidR="001D2E4A">
        <w:t>exige</w:t>
      </w:r>
      <w:r>
        <w:t xml:space="preserve"> uma educação superior capaz de formar profissionais flexíveis, criativos e </w:t>
      </w:r>
      <w:r w:rsidR="00175ABF">
        <w:t>aptos para</w:t>
      </w:r>
      <w:r>
        <w:t xml:space="preserve"> lidar com a complexidade e a incerteza. </w:t>
      </w:r>
      <w:r w:rsidR="00BD0ABD">
        <w:t xml:space="preserve">Assim, </w:t>
      </w:r>
      <w:r w:rsidR="00DF3700">
        <w:t>s</w:t>
      </w:r>
      <w:r>
        <w:t xml:space="preserve">ob a luz das ideias de </w:t>
      </w:r>
      <w:proofErr w:type="spellStart"/>
      <w:r>
        <w:t>Antonio</w:t>
      </w:r>
      <w:proofErr w:type="spellEnd"/>
      <w:r>
        <w:t xml:space="preserve"> </w:t>
      </w:r>
      <w:proofErr w:type="spellStart"/>
      <w:r>
        <w:t>N</w:t>
      </w:r>
      <w:r w:rsidR="009A5D9C">
        <w:t>ó</w:t>
      </w:r>
      <w:r>
        <w:t>voa</w:t>
      </w:r>
      <w:proofErr w:type="spellEnd"/>
      <w:r>
        <w:t xml:space="preserve"> (2022), </w:t>
      </w:r>
      <w:r w:rsidR="002A061E">
        <w:t>acerca da</w:t>
      </w:r>
      <w:r>
        <w:t xml:space="preserve"> desintegração ou metamorfose</w:t>
      </w:r>
      <w:r w:rsidR="002A061E">
        <w:t xml:space="preserve"> da escola</w:t>
      </w:r>
      <w:r>
        <w:t xml:space="preserve">, </w:t>
      </w:r>
      <w:r w:rsidR="00F22DDA">
        <w:t>d</w:t>
      </w:r>
      <w:r>
        <w:t>os conceitos de experi</w:t>
      </w:r>
      <w:r w:rsidR="00F22DDA">
        <w:t>ê</w:t>
      </w:r>
      <w:r>
        <w:t>ncia de</w:t>
      </w:r>
      <w:r w:rsidR="00F22DDA">
        <w:t xml:space="preserve"> </w:t>
      </w:r>
      <w:r>
        <w:t>Larrosa (2009, 2015) e de Vivência para Vigotski (2018)</w:t>
      </w:r>
      <w:r w:rsidR="000E4BCA">
        <w:t xml:space="preserve">, </w:t>
      </w:r>
      <w:r w:rsidR="002F19E5">
        <w:t xml:space="preserve">este artigo se propõe a discutir </w:t>
      </w:r>
      <w:r w:rsidR="00F21F9D">
        <w:t>o processo de orientação e acompanhamento do TCC em polos internacionais</w:t>
      </w:r>
      <w:r>
        <w:t xml:space="preserve">.  </w:t>
      </w:r>
    </w:p>
    <w:p w14:paraId="1588F2CF" w14:textId="5032EF53" w:rsidR="00BB70D9" w:rsidRDefault="00BB70D9" w:rsidP="00BB70D9">
      <w:pPr>
        <w:ind w:left="0"/>
      </w:pPr>
      <w:r>
        <w:t>Ao vivenciar a atividade de pesquisa, sob a orientação dos professores e com a possibilidade de troca de experi</w:t>
      </w:r>
      <w:r w:rsidR="00CA6CAF">
        <w:t>ê</w:t>
      </w:r>
      <w:r>
        <w:t>ncias com os colegas de curso, da mesma linha/eixo de pesquisa, os estudantes dos polos internacionais têm sua vivência local valorizada, bem como podem contribuir, por meio do diálogo nas reuniões, com os estudantes que fazem o mesmo curso em polos no Brasil. Nesse sentido</w:t>
      </w:r>
      <w:r w:rsidR="3A57A926">
        <w:t>,</w:t>
      </w:r>
      <w:r>
        <w:t xml:space="preserve"> o estudo busca </w:t>
      </w:r>
      <w:r w:rsidR="00CA6CAF">
        <w:t>perquirir</w:t>
      </w:r>
      <w:r>
        <w:t xml:space="preserve"> se o Trabalho de Conclusão de Curso (TCC) pode estimular o desenvolvimento de habilidades como pesquisa e análise crítica em estudantes de Polos Internacionais, atuando como um agente de transformação</w:t>
      </w:r>
      <w:r w:rsidR="00657821">
        <w:t>.</w:t>
      </w:r>
      <w:r>
        <w:t xml:space="preserve"> </w:t>
      </w:r>
    </w:p>
    <w:p w14:paraId="0A600350" w14:textId="76857DC7" w:rsidR="00BB70D9" w:rsidRDefault="00BB70D9" w:rsidP="00BB70D9">
      <w:pPr>
        <w:ind w:left="0"/>
      </w:pPr>
      <w:r>
        <w:t>A metodologia utilizada para o trabalho foi a bibliográfica com uma abordagem qualitativa, tendo como embasamento teórico as ideias de estudiosos da área e no Manual de TCC de uma instituição de ensino superior, assim como a observação e interações nas reuniões síncronas com estudantes da disciplina</w:t>
      </w:r>
      <w:r w:rsidR="00380FAC">
        <w:t>,</w:t>
      </w:r>
      <w:r>
        <w:t xml:space="preserve"> nos cursos de graduação de Licenciatura em Pedagogia, Educação Especial, Psicopedagogia e Bacharelado em Psicopedagogia da referida IES de ensino superior em EaD.  </w:t>
      </w:r>
    </w:p>
    <w:p w14:paraId="718AD1E0" w14:textId="17A8892F" w:rsidR="00584823" w:rsidRDefault="00BB70D9" w:rsidP="00BB70D9">
      <w:pPr>
        <w:ind w:left="0"/>
      </w:pPr>
      <w:r>
        <w:t xml:space="preserve">A pesquisa demonstrou que o design pedagógico </w:t>
      </w:r>
      <w:r w:rsidR="00B50825">
        <w:t xml:space="preserve">proposto </w:t>
      </w:r>
      <w:r>
        <w:t>para o TCC promove o engajamento e a responsividade</w:t>
      </w:r>
      <w:r w:rsidRPr="2E8D72AD">
        <w:rPr>
          <w:rStyle w:val="Refdenotaderodap"/>
        </w:rPr>
        <w:footnoteReference w:id="1"/>
      </w:r>
      <w:r>
        <w:t xml:space="preserve"> dos estudantes. Ao vivenciarem a atividade de pesquisa sob a orientação dos professores e com a possibilidade de troca de experiências com colegas de curso, os alunos têm sua vivência local valorizada. Além disso, podem contribuir, por meio do diálogo nas reuniões on</w:t>
      </w:r>
      <w:r w:rsidR="003253E1">
        <w:t>-</w:t>
      </w:r>
      <w:r>
        <w:t>line síncronas, com estudantes que fazem o mesmo curso em polos no Brasil. Assim, é possível que a educação, além de transmitir conhecimentos, tenha como objetivo gerar resultados advindos de uma prática educativa fundamentada nos princípios de cooperação, compromisso e competência.</w:t>
      </w:r>
    </w:p>
    <w:p w14:paraId="75A27ECD" w14:textId="77777777" w:rsidR="00584823" w:rsidRDefault="00584823">
      <w:pPr>
        <w:ind w:left="0"/>
      </w:pPr>
      <w:bookmarkStart w:id="1" w:name="_heading=h.2phqjsts76kw" w:colFirst="0" w:colLast="0"/>
      <w:bookmarkEnd w:id="1"/>
    </w:p>
    <w:p w14:paraId="02EDB08F" w14:textId="77777777" w:rsidR="00A128C7" w:rsidRDefault="00A128C7">
      <w:pPr>
        <w:ind w:left="0"/>
      </w:pPr>
    </w:p>
    <w:p w14:paraId="1D7FC537" w14:textId="77777777" w:rsidR="00A128C7" w:rsidRDefault="00A128C7">
      <w:pPr>
        <w:ind w:left="0"/>
      </w:pPr>
    </w:p>
    <w:p w14:paraId="0A0E2878" w14:textId="77777777" w:rsidR="00A128C7" w:rsidRDefault="00A128C7">
      <w:pPr>
        <w:ind w:left="0"/>
      </w:pPr>
    </w:p>
    <w:p w14:paraId="75E76532" w14:textId="46E7FF7D" w:rsidR="00584823" w:rsidRDefault="00F92BD8">
      <w:pPr>
        <w:keepNext/>
        <w:pBdr>
          <w:top w:val="nil"/>
          <w:left w:val="nil"/>
          <w:bottom w:val="nil"/>
          <w:right w:val="nil"/>
          <w:between w:val="nil"/>
        </w:pBdr>
        <w:spacing w:line="240" w:lineRule="auto"/>
        <w:ind w:left="1" w:hanging="3"/>
        <w:jc w:val="left"/>
        <w:rPr>
          <w:b/>
          <w:color w:val="000000"/>
          <w:sz w:val="28"/>
          <w:szCs w:val="28"/>
        </w:rPr>
      </w:pPr>
      <w:r>
        <w:rPr>
          <w:b/>
          <w:color w:val="000000"/>
          <w:sz w:val="28"/>
          <w:szCs w:val="28"/>
        </w:rPr>
        <w:t xml:space="preserve">2 </w:t>
      </w:r>
      <w:r w:rsidR="00F476B7" w:rsidRPr="00F476B7">
        <w:rPr>
          <w:b/>
          <w:color w:val="000000"/>
          <w:sz w:val="28"/>
          <w:szCs w:val="28"/>
        </w:rPr>
        <w:t xml:space="preserve">Engajamento e Responsividade: o TCC como experiência de aprendizagem imbricada à prática social </w:t>
      </w:r>
      <w:proofErr w:type="spellStart"/>
      <w:r w:rsidR="00F476B7" w:rsidRPr="00F476B7">
        <w:rPr>
          <w:b/>
          <w:color w:val="000000"/>
          <w:sz w:val="28"/>
          <w:szCs w:val="28"/>
        </w:rPr>
        <w:t>locorregional</w:t>
      </w:r>
      <w:proofErr w:type="spellEnd"/>
    </w:p>
    <w:p w14:paraId="57C79B90" w14:textId="77777777" w:rsidR="00F476B7" w:rsidRDefault="00F476B7">
      <w:pPr>
        <w:keepNext/>
        <w:pBdr>
          <w:top w:val="nil"/>
          <w:left w:val="nil"/>
          <w:bottom w:val="nil"/>
          <w:right w:val="nil"/>
          <w:between w:val="nil"/>
        </w:pBdr>
        <w:spacing w:line="240" w:lineRule="auto"/>
        <w:ind w:left="1" w:hanging="3"/>
        <w:jc w:val="left"/>
        <w:rPr>
          <w:b/>
          <w:color w:val="000000"/>
          <w:sz w:val="28"/>
          <w:szCs w:val="28"/>
        </w:rPr>
      </w:pPr>
    </w:p>
    <w:p w14:paraId="799A2CC5" w14:textId="77777777" w:rsidR="00072193" w:rsidRDefault="00072193" w:rsidP="00072193">
      <w:pPr>
        <w:ind w:left="0"/>
      </w:pPr>
      <w:r>
        <w:t xml:space="preserve">Ao atualizar o papel social da escola na contemporaneidade, António </w:t>
      </w:r>
      <w:proofErr w:type="spellStart"/>
      <w:r>
        <w:t>Nóvoa</w:t>
      </w:r>
      <w:proofErr w:type="spellEnd"/>
      <w:r>
        <w:t xml:space="preserve"> (2022) indaga se o destino desta instituição secular é a desintegração ou a metamorfose. Em diálogo direto com as obras dos filósofos Edgar Morin (2010, 2011, 2020) e Michel Serres (2012, 2019), afirma que o provável é a desintegração e o improvável, mas possível, é a metamorfose – na qual faz a sua aposta. </w:t>
      </w:r>
    </w:p>
    <w:p w14:paraId="68848417" w14:textId="77777777" w:rsidR="00072193" w:rsidRDefault="00072193" w:rsidP="00072193">
      <w:pPr>
        <w:ind w:left="0"/>
      </w:pPr>
      <w:r>
        <w:t>O professor e historiador lusitano ainda insiste em destacar que não se trata do fim da escola, mas do fim de um determinado modelo escolar. Para ele, a revolução digital (Serres, 2019) ou a Infosfera (</w:t>
      </w:r>
      <w:proofErr w:type="spellStart"/>
      <w:r>
        <w:t>Floridi</w:t>
      </w:r>
      <w:proofErr w:type="spellEnd"/>
      <w:r>
        <w:t xml:space="preserve">, 2010) representam a condição objetiva para concretizar princípios que já estavam enunciados desde o “Credo Pedagógico” de John Dewey (1897). </w:t>
      </w:r>
    </w:p>
    <w:p w14:paraId="3E5CDD9A" w14:textId="77777777" w:rsidR="00072193" w:rsidRPr="0011197A" w:rsidRDefault="00072193" w:rsidP="000A54CB">
      <w:pPr>
        <w:ind w:leftChars="0" w:left="2270" w:firstLineChars="0"/>
        <w:rPr>
          <w:sz w:val="20"/>
          <w:szCs w:val="20"/>
        </w:rPr>
      </w:pPr>
      <w:r w:rsidRPr="0011197A">
        <w:rPr>
          <w:sz w:val="20"/>
          <w:szCs w:val="20"/>
        </w:rPr>
        <w:t xml:space="preserve">Neste credo já estão presentes alguns elementos que se tornarão populares na literatura pedagógica do século XX: a autonomia dos educandos, nomeadamente na sua relação com o estudo e as aprendizagens; a valorização da comunicação, do diálogo e da cooperação entre os alunos; uma escola </w:t>
      </w:r>
      <w:proofErr w:type="spellStart"/>
      <w:r w:rsidRPr="0011197A">
        <w:rPr>
          <w:sz w:val="20"/>
          <w:szCs w:val="20"/>
        </w:rPr>
        <w:t>activa</w:t>
      </w:r>
      <w:proofErr w:type="spellEnd"/>
      <w:r w:rsidRPr="0011197A">
        <w:rPr>
          <w:sz w:val="20"/>
          <w:szCs w:val="20"/>
        </w:rPr>
        <w:t xml:space="preserve">, isto é, baseada numa lógica de trabalho, de investigação e de criação; uma concepção aberta de comunidade educativa, ligando a escola à sociedade. (NÓVOA, 2022, p. 15) </w:t>
      </w:r>
    </w:p>
    <w:p w14:paraId="348FB92B" w14:textId="77777777" w:rsidR="00072193" w:rsidRDefault="00072193" w:rsidP="00072193">
      <w:pPr>
        <w:ind w:left="0"/>
      </w:pPr>
      <w:proofErr w:type="spellStart"/>
      <w:r>
        <w:t>Nóvoa</w:t>
      </w:r>
      <w:proofErr w:type="spellEnd"/>
      <w:r>
        <w:t xml:space="preserve"> (2022) é peremptório ao salientar os limites e o engessamento da estrutura do modelo escolar hegemônico durante todo o século XX, desde os espaços, tempos, mobiliário, passando pelos papéis do docente e do discente até o tratamento dado ao objeto de conhecimento. O autor também frisa a centralidade que a escola ganhou, no último século, ao absorver quase que a integralidade da educação das novas gerações. Por outro lado, sublinha uma grande mudança com a revolução digital, na qual se vislumbra “a capilaridade educativa que liga o trabalho dentro e fora da escola (nas famílias, nas cidades, na sociedade)”. (NÓVOA, 2022, p. 16) </w:t>
      </w:r>
    </w:p>
    <w:p w14:paraId="33E6F51A" w14:textId="77777777" w:rsidR="00072193" w:rsidRDefault="00072193" w:rsidP="00072193">
      <w:pPr>
        <w:ind w:left="0"/>
      </w:pPr>
      <w:r>
        <w:t xml:space="preserve">Essa “capilaridade educativa” descrita por </w:t>
      </w:r>
      <w:proofErr w:type="spellStart"/>
      <w:r>
        <w:t>Nóvoa</w:t>
      </w:r>
      <w:proofErr w:type="spellEnd"/>
      <w:r>
        <w:t xml:space="preserve"> (2022) ganha contornos mais profundos quando cotejada ao conceito de “infosfera” inscrito pelo filósofo da informação, Luciano </w:t>
      </w:r>
      <w:proofErr w:type="spellStart"/>
      <w:r>
        <w:t>Floridi</w:t>
      </w:r>
      <w:proofErr w:type="spellEnd"/>
      <w:r>
        <w:t xml:space="preserve"> (2014): </w:t>
      </w:r>
    </w:p>
    <w:p w14:paraId="7B231DA9" w14:textId="77777777" w:rsidR="00072193" w:rsidRPr="000A54CB" w:rsidRDefault="00072193" w:rsidP="004F2D8A">
      <w:pPr>
        <w:ind w:leftChars="0" w:left="2270" w:firstLineChars="0"/>
        <w:rPr>
          <w:sz w:val="20"/>
          <w:szCs w:val="20"/>
        </w:rPr>
      </w:pPr>
      <w:r w:rsidRPr="000A54CB">
        <w:rPr>
          <w:sz w:val="20"/>
          <w:szCs w:val="20"/>
        </w:rPr>
        <w:t xml:space="preserve">Minimamente, infosfera denota todo o ambiente informacional constituído por todas as entidades informacionais, suas propriedades, interações, processos e relações mútuas. É um ambiente comparável, mas diferente, do ciberespaço, que é apenas uma das suas sub-regiões, por assim dizer, uma vez que a infosfera também inclui espaços de informação offline e analógicos. Maximamente, infosfera é um conceito que pode ser usado como sinônimo de realidade, uma vez que a interpreta </w:t>
      </w:r>
      <w:proofErr w:type="spellStart"/>
      <w:r w:rsidRPr="000A54CB">
        <w:rPr>
          <w:sz w:val="20"/>
          <w:szCs w:val="20"/>
        </w:rPr>
        <w:t>informacionalmente</w:t>
      </w:r>
      <w:proofErr w:type="spellEnd"/>
      <w:r w:rsidRPr="000A54CB">
        <w:rPr>
          <w:sz w:val="20"/>
          <w:szCs w:val="20"/>
        </w:rPr>
        <w:t xml:space="preserve">. (FLORIDI, 2014, p.50) </w:t>
      </w:r>
    </w:p>
    <w:p w14:paraId="67ACFC1F" w14:textId="4EE488AE" w:rsidR="00072193" w:rsidRDefault="00072193" w:rsidP="00072193">
      <w:pPr>
        <w:ind w:left="0"/>
      </w:pPr>
      <w:r>
        <w:t xml:space="preserve">Parafraseando </w:t>
      </w:r>
      <w:proofErr w:type="spellStart"/>
      <w:r>
        <w:t>Floridi</w:t>
      </w:r>
      <w:proofErr w:type="spellEnd"/>
      <w:r>
        <w:t xml:space="preserve"> (2010), a internet projetou a informação e a comunicação digitalmente mediada numa escala exponencial cujo ritmo das transformações é “muito mais rápido do que a nossa capacidade de assimilar e se habituar à uma realidade em constante mutação”. (</w:t>
      </w:r>
      <w:r w:rsidR="00E269C7">
        <w:t>FLORIDI</w:t>
      </w:r>
      <w:r>
        <w:t xml:space="preserve">, 2010, p.5) </w:t>
      </w:r>
    </w:p>
    <w:p w14:paraId="2C8DBA50" w14:textId="4D141772" w:rsidR="00072193" w:rsidRDefault="00072193" w:rsidP="00072193">
      <w:pPr>
        <w:ind w:left="0"/>
      </w:pPr>
      <w:r>
        <w:t xml:space="preserve">Tem-se, dessarte, uma atualização constante e muito veloz do mundo do trabalho, da educação, do modo de produzir a vida em sociedade, dos processos de socialização e das próprias formas de comunicação. A mudança permanente torna-se a única certeza e previsibilidade possível. Inobstante, este cenário de incertezas e imprevisibilidade tensiona - além do modelo escolar - a dimensão teleológica da educação, haja vista a condição </w:t>
      </w:r>
      <w:proofErr w:type="spellStart"/>
      <w:r>
        <w:t>sine</w:t>
      </w:r>
      <w:proofErr w:type="spellEnd"/>
      <w:r>
        <w:t xml:space="preserve"> </w:t>
      </w:r>
      <w:proofErr w:type="spellStart"/>
      <w:r>
        <w:t>qua</w:t>
      </w:r>
      <w:proofErr w:type="spellEnd"/>
      <w:r>
        <w:t xml:space="preserve"> </w:t>
      </w:r>
      <w:proofErr w:type="spellStart"/>
      <w:r>
        <w:t>on</w:t>
      </w:r>
      <w:proofErr w:type="spellEnd"/>
      <w:r>
        <w:t xml:space="preserve"> do “</w:t>
      </w:r>
      <w:proofErr w:type="spellStart"/>
      <w:r>
        <w:t>vir-a-ser</w:t>
      </w:r>
      <w:proofErr w:type="spellEnd"/>
      <w:r>
        <w:t xml:space="preserve">" imbricada a qualquer projeto educativo. Assim, a indagação que emerge dirige-se ao papel da educação e, particularmente, do ensino superior, na sociedade contemporânea eivada pela revolução digital e informacional. Para Dias Sobrinho (2000): </w:t>
      </w:r>
    </w:p>
    <w:p w14:paraId="2D64D52A" w14:textId="5E9B2300" w:rsidR="00072193" w:rsidRPr="004F2D8A" w:rsidRDefault="00072193" w:rsidP="004F2D8A">
      <w:pPr>
        <w:ind w:leftChars="0" w:left="2270" w:firstLineChars="0"/>
        <w:rPr>
          <w:sz w:val="20"/>
          <w:szCs w:val="20"/>
        </w:rPr>
      </w:pPr>
      <w:r w:rsidRPr="004F2D8A">
        <w:rPr>
          <w:sz w:val="20"/>
          <w:szCs w:val="20"/>
        </w:rPr>
        <w:lastRenderedPageBreak/>
        <w:t xml:space="preserve">Falar da educação na perspectiva do futuro é, pois, tarefa cheia de riscos, mas importante. Não é irrelevante pensar que fomos educados para um mundo que não existe mais e estamos educando as novas gerações para um mundo que muito brevemente será outro. Num mundo de tantas e velozes mudanças, a escola tem permanecido praticamente a mesma. Quase não nos damos conta de que nossos alunos estariam sendo hoje preparados para postos ou funções que muito em breve estarão modificados, exigindo diferentes capacitações, ou até mesmo serão simplesmente extintos. Não nos apercebemos hoje que boa parte dos conhecimentos que ensinamos já está ultrapassada no momento mesmo do ensino ou se tornará obsoleta em poucos anos. Não temos muita clareza sobre quantas novas profissões surgiram e quantas outras aparecerão em breve. (DIAS SOBRINHO, 2000, p. 20). </w:t>
      </w:r>
    </w:p>
    <w:p w14:paraId="04114240" w14:textId="63DAF743" w:rsidR="00072193" w:rsidRDefault="00072193" w:rsidP="00917443">
      <w:pPr>
        <w:ind w:left="-2" w:firstLineChars="0" w:firstLine="0"/>
      </w:pPr>
      <w:r>
        <w:t xml:space="preserve">À exceção do desenvolvimento da capacidade de pensar e criar, não se pode mais ancorar os cursos de graduação em objetos de conhecimento, habilidades e competências disciplinares e estanques; a infosfera arrefeceu, quiçá, diluiu as barreiras e os limites entre os campos de conhecimento e o mundo do trabalho, projetando um fluxo de comunicação aberto e de transformações velozes. Consequentemente, torna-se tarefa urgente repensar o perfil do egresso, permitindo-lhe a construção de um corpus profissional capaz de garantir um desempenho coerente e assertivo em relação às necessidades e exigências, por vezes imprevisíveis, de seu campo de atuação.  </w:t>
      </w:r>
    </w:p>
    <w:p w14:paraId="6C98DB5B" w14:textId="4EBB26F2" w:rsidR="00072193" w:rsidRDefault="00072193" w:rsidP="00917443">
      <w:pPr>
        <w:ind w:left="0"/>
      </w:pPr>
      <w:r>
        <w:t xml:space="preserve">Nessa esteira, ganha relevância a experiência de aprendizagem construída, nos cursos de graduação, com o Trabalho de Conclusão de Curso (TCC). Ensino, pesquisa e extensão estão cada vez mais permeáveis e interconectados, assim, a partir dessa tríade e considerando os conceitos de experiência de Larrosa (2009, 2015) e de </w:t>
      </w:r>
      <w:r w:rsidR="00D116DA">
        <w:t>v</w:t>
      </w:r>
      <w:r w:rsidRPr="00D116DA">
        <w:t>ivência</w:t>
      </w:r>
      <w:r>
        <w:t xml:space="preserve"> para Vigotski (2018), </w:t>
      </w:r>
      <w:r w:rsidR="000901BB">
        <w:t>a IES</w:t>
      </w:r>
      <w:r>
        <w:t xml:space="preserve"> construiu um designer singular para a orientação e o acompanhamento do TCC.  </w:t>
      </w:r>
    </w:p>
    <w:p w14:paraId="66F750B5" w14:textId="6657FCF1" w:rsidR="00072193" w:rsidRDefault="00072193" w:rsidP="00917443">
      <w:pPr>
        <w:ind w:left="0"/>
      </w:pPr>
      <w:r>
        <w:t xml:space="preserve">Todavia, inobstante a relevância, pertinência e complexidade dos conceitos aventados anteriormente, ainda se fez indispensável eleger dois grandes pilares que orientaram a criação desse designer pedagógico para o TCC: o engajamento e a responsividade. </w:t>
      </w:r>
    </w:p>
    <w:p w14:paraId="09D94FFC" w14:textId="4BBC31E6" w:rsidR="00072193" w:rsidRDefault="00072193" w:rsidP="00917443">
      <w:pPr>
        <w:ind w:left="0"/>
      </w:pPr>
      <w:r>
        <w:t xml:space="preserve">Esses pilares induzem a produção de experiências de pesquisas comprometidas com a realidade local – sem romper os laços com os aspectos macro da sociedade – construindo competências que permitam diagnosticar com mais precisão e assertividade os problemas e necessidades advindos do lócus micro. Há, portanto, um engajamento que desenvolve um olhar sensível e comprometido, de pesquisador, com os problemas e demandas do entorno acadêmico e profissional do estudante. Concomitantemente, a partir de um diagnóstico local mais preciso, busca-se construir respostas factíveis e eficazes para solucionar os problemas elencados, fomentando a responsividade como um pilar formativo. </w:t>
      </w:r>
    </w:p>
    <w:p w14:paraId="1527638E" w14:textId="4A2893A0" w:rsidR="00072193" w:rsidRDefault="00072193" w:rsidP="00917443">
      <w:pPr>
        <w:ind w:left="0"/>
      </w:pPr>
      <w:r>
        <w:t xml:space="preserve">Busca-se, assim, no decurso da formação inicial dos cursos de graduação, a partir do TCC, promover experiências que articulem teoria e prática, que ampliem o diálogo entre os aspectos macro e micro da sociedade e do mundo do trabalho e que abordem, indissociavelmente, os objetos de conhecimento inscritos na matriz curricular do curso à prática profissional local. </w:t>
      </w:r>
    </w:p>
    <w:p w14:paraId="0EF21E62" w14:textId="2DCDC7DC" w:rsidR="00072193" w:rsidRDefault="00072193" w:rsidP="00765331">
      <w:pPr>
        <w:ind w:left="0"/>
      </w:pPr>
      <w:r>
        <w:t xml:space="preserve">Essa experiência proposta com o TCC, assim como adverte Larrosa (2015), vai muito além da informação e da opinião, para o autor: </w:t>
      </w:r>
    </w:p>
    <w:p w14:paraId="654FFAC7" w14:textId="2EC2ACD0" w:rsidR="00072193" w:rsidRPr="00C57A63" w:rsidRDefault="00072193" w:rsidP="00C57A63">
      <w:pPr>
        <w:ind w:leftChars="0" w:left="2270" w:firstLineChars="0"/>
        <w:rPr>
          <w:sz w:val="20"/>
          <w:szCs w:val="20"/>
        </w:rPr>
      </w:pPr>
      <w:r w:rsidRPr="00C57A63">
        <w:rPr>
          <w:sz w:val="20"/>
          <w:szCs w:val="20"/>
        </w:rPr>
        <w:t xml:space="preserve">A experiência, a possibilidade de que algo nos aconteça ou nos toque, requer um gesto de interrupção, um gesto que é quase impossível nos tempos que correm; requer parar para pensar, parar para olhar, parar para escutar, pensar mais devagar, olhar mais devagar, e escutar mais devagar; parar para sentir, sentir mais </w:t>
      </w:r>
      <w:r w:rsidRPr="00C57A63">
        <w:rPr>
          <w:sz w:val="20"/>
          <w:szCs w:val="20"/>
        </w:rPr>
        <w:lastRenderedPageBreak/>
        <w:t xml:space="preserve">devagar, demorar-se nos detalhes, suspender a opinião, suspender o juízo, suspender a vontade, suspender o automatismo da ação, cultivar a atenção e a delicadeza, abrir os olhos e os ouvidos, falar sobre o que nos acontece, aprender a lentidão, escutar aos outros, cultivar a arte do encontro, calar muito, ter paciência e dar-se tempo e espaço. (LARROSA, 2015, p. 25). </w:t>
      </w:r>
    </w:p>
    <w:p w14:paraId="6EF01392" w14:textId="00F6A9C4" w:rsidR="00072193" w:rsidRDefault="00072193" w:rsidP="00917443">
      <w:pPr>
        <w:ind w:left="0"/>
      </w:pPr>
      <w:r>
        <w:t xml:space="preserve">O autor ainda sublinha que a experiência contém em si, indissociavelmente, a díade da travessia e do perigo, levando à construção de um sujeito da experiência que se expõe “atravessando um espaço indeterminado e perigoso, pondo-se nele à prova e buscando nele sua oportunidade, sua ocasião”. </w:t>
      </w:r>
      <w:r w:rsidRPr="00E269C7">
        <w:t>(LARROSA, 2015, 27)</w:t>
      </w:r>
      <w:r>
        <w:t xml:space="preserve"> </w:t>
      </w:r>
    </w:p>
    <w:p w14:paraId="25F92EF3" w14:textId="25891088" w:rsidR="00072193" w:rsidRDefault="00072193" w:rsidP="00917443">
      <w:pPr>
        <w:ind w:left="0"/>
      </w:pPr>
      <w:r>
        <w:t xml:space="preserve">Trata-se de um sujeito que se prepara para o imprevisível e consegue agir no movimento das mudanças. Entretanto, para formar esse sujeito é preciso garantir-lhe, já na graduação, vivências que corroborem com essa construção. Insta frisar que, para esse trabalho, o conceito de vivência está ancorado na obra de Vigotski (2018), especialmente em sua quarta aula, quando trata do “problema do meio”. </w:t>
      </w:r>
    </w:p>
    <w:p w14:paraId="63799BC9" w14:textId="01B169A3" w:rsidR="00072193" w:rsidRDefault="00072193" w:rsidP="00917443">
      <w:pPr>
        <w:ind w:left="0"/>
      </w:pPr>
      <w:r>
        <w:t xml:space="preserve">Em apertada síntese, é indispensável destacar que Vigotski (2018, p. 74) alerta para a necessidade de superar os indicadores absolutos do “meio”, compreendendo-o na relação com o sujeito, a partir da qual ganha evidência o conceito de vivência. Para o autor, a vivência é a materialização de uma unidade indivisível entre o que se vivencia e o como se vivencia. </w:t>
      </w:r>
    </w:p>
    <w:p w14:paraId="66E476A5" w14:textId="61A798B4" w:rsidR="00072193" w:rsidRDefault="00072193" w:rsidP="00917443">
      <w:pPr>
        <w:ind w:left="0"/>
      </w:pPr>
      <w:r>
        <w:t>Considerando tais pressupostos, a proposta da disciplina de Metodologia da Pesquisa e Trabalho de Conclusão de Curso (MPTCC) se baseia no desenvolvimento das seguintes atividades :1. Elaboração de um Projeto de Pesquisa; 2. Participação em reuniões síncronas (</w:t>
      </w:r>
      <w:proofErr w:type="spellStart"/>
      <w:r>
        <w:t>on</w:t>
      </w:r>
      <w:proofErr w:type="spellEnd"/>
      <w:r>
        <w:t xml:space="preserve"> </w:t>
      </w:r>
      <w:proofErr w:type="spellStart"/>
      <w:r>
        <w:t>line</w:t>
      </w:r>
      <w:proofErr w:type="spellEnd"/>
      <w:r>
        <w:t xml:space="preserve">), de orientação sobre o TCC; 3. Coleta e análise dos dados para a pesquisa; 4. Elaboração do trabalho final na forma de Resumo Expandido; 4. Defesa do TCC (com apresentação e arguição </w:t>
      </w:r>
      <w:proofErr w:type="spellStart"/>
      <w:r>
        <w:t>on</w:t>
      </w:r>
      <w:proofErr w:type="spellEnd"/>
      <w:r>
        <w:t xml:space="preserve"> </w:t>
      </w:r>
      <w:proofErr w:type="spellStart"/>
      <w:r>
        <w:t>line</w:t>
      </w:r>
      <w:proofErr w:type="spellEnd"/>
      <w:r>
        <w:t xml:space="preserve">. Os princípios da Educação 5.0 e 6.0 norteiam o desenvolvimento do processo de elaboração do TCC pelo estudante, tendo como direção a busca pelo bem-estar, a constituição da autoconsciência, como sujeito ativo na sociedade, que se percebe conectado com outros seres humanos e com o ambiente que o cerca. Nesta direção, a compreensão da relação </w:t>
      </w:r>
      <w:r w:rsidR="649823D7">
        <w:t xml:space="preserve">entre o </w:t>
      </w:r>
      <w:r>
        <w:t>ensino</w:t>
      </w:r>
      <w:r w:rsidR="55D322AD">
        <w:t xml:space="preserve"> e </w:t>
      </w:r>
      <w:r w:rsidR="417D6BB9">
        <w:t xml:space="preserve">a </w:t>
      </w:r>
      <w:r>
        <w:t xml:space="preserve">aprendizagem, ultrapassa a sala de aula e vai além do espaço físico, das paredes ou dos muros da instituição, buscando superar as barreiras físicas e tecnológicas que existiam até pouco tempo.  </w:t>
      </w:r>
    </w:p>
    <w:p w14:paraId="17953BDD" w14:textId="7829796A" w:rsidR="00072193" w:rsidRDefault="00072193" w:rsidP="00765331">
      <w:pPr>
        <w:ind w:left="0"/>
      </w:pPr>
      <w:r>
        <w:t xml:space="preserve">Ao vivenciar a atividade de pesquisa, sob a orientação dos professores e com a possibilidade de troca de experiencias com os colegas de curso, da mesma linha/eixo de pesquisa, os estudantes dos polos internacionais tem sua vivência local valorizada, bem como podem contribuir, por meio do diálogo nas reuniões, com os estudantes que fazem o mesmo curso em polos no Brasil. Atualmente as tecnologias podem aproximar pessoas que estão em diversos locais do mundo, podem conectá-las, permitir que interajam troquem experiências. No que diz respeito a prática universitária e de pesquisa, as tecnologias permitem hoje que pessoas, professores e alunos, em diversos locais do mundo, possam compartilhar seus conhecimentos e ampliar sua visão de mundo e as possibilidades de intervenção no mesmo. Destarte, é possível hoje que a educação para além de transmitir conhecimentos, possa ter como objetivo gerar resultados advindos de uma prática educativa calcada nos princípios de cooperação, compromisso e competência.  </w:t>
      </w:r>
    </w:p>
    <w:p w14:paraId="2395A2D3" w14:textId="1854845B" w:rsidR="00072193" w:rsidRDefault="00072193" w:rsidP="00917443">
      <w:pPr>
        <w:ind w:left="0"/>
      </w:pPr>
      <w:r>
        <w:t xml:space="preserve">Destaca-se aqui, com base em Gaio e Machado (2021), algumas características importantes para a realização deste processo educacional que valoriza a interação na modalidade </w:t>
      </w:r>
      <w:r w:rsidRPr="00743B00">
        <w:t>Ea</w:t>
      </w:r>
      <w:r w:rsidR="00E269C7" w:rsidRPr="00743B00">
        <w:t>D</w:t>
      </w:r>
      <w:r>
        <w:t xml:space="preserve">: o uso das tecnologias digitais para interação síncrona; a ênfase na aprendizagem desenvolvida a partir do ensino, da pesquisa, da extensão e da prática; a atuação de uma equipe multidisciplinar em busca do desenvolvimento profissional e socioemocional; o estabelecimento de nexos entre diferentes tendências, metodologias, teorias educacionais e da psicologia; a organização curricular sistêmica e por competências; a compreensão da aula no ensino superior como espaço e tempo de aprendizagem por parte do estudante e do professor e a modificação completa de todo o processo de ensino: </w:t>
      </w:r>
    </w:p>
    <w:p w14:paraId="39C41BEF" w14:textId="7B445C38" w:rsidR="00072193" w:rsidRPr="00C57A63" w:rsidRDefault="00072193" w:rsidP="00C57A63">
      <w:pPr>
        <w:ind w:leftChars="0" w:left="2270" w:firstLineChars="0"/>
        <w:rPr>
          <w:sz w:val="20"/>
          <w:szCs w:val="20"/>
        </w:rPr>
      </w:pPr>
      <w:r w:rsidRPr="00C57A63">
        <w:rPr>
          <w:sz w:val="20"/>
          <w:szCs w:val="20"/>
        </w:rPr>
        <w:lastRenderedPageBreak/>
        <w:t xml:space="preserve">Hoje, o processo educacional mediado pelas tecnologias digitais passa a adquirir dimensões que, se não são totalmente novas, mas que podem agora ser exploradas, considerando as perspectivas teórico-metodológicas existentes no presente momento. As relações educativas têm se tornado multidirecionadas e dinâmicas, possibilitando a todos os envolvidos fazer parte do processo educacional. (...) Compreender o processo educacional em seu tempo e espaço de aprendizagem por nossa parte, os gestores, os professores e os estudantes, requer entrelaçar conhecimentos multidisciplinares, para que juntos possamos realizar interações, em que o conceito de estar em busca de um curso superior transcenda seu espaço corriqueiro de novas oportunidades de trabalho e, que a emancipação humana possa ser mola propulsora, pois, só assim, podemos falar em mudança, inovação e, por consequência, na formação de profissionais competentes e cidadãos éticos e com preocupação estética. (GAIO e MACHADO, 2021, p.29-30) </w:t>
      </w:r>
    </w:p>
    <w:p w14:paraId="600B1BA4" w14:textId="312A5DEB" w:rsidR="00072193" w:rsidRDefault="00072193" w:rsidP="0058439D">
      <w:pPr>
        <w:ind w:left="-2" w:firstLineChars="0" w:firstLine="0"/>
      </w:pPr>
      <w:r>
        <w:t>Corroborando o entendimento de</w:t>
      </w:r>
      <w:r w:rsidR="00E269C7">
        <w:t xml:space="preserve"> </w:t>
      </w:r>
      <w:r w:rsidR="00E269C7" w:rsidRPr="00E269C7">
        <w:t xml:space="preserve">Gaio e Machado (2021), </w:t>
      </w:r>
      <w:r>
        <w:t xml:space="preserve">o desenvolvimento do Trabalho de Conclusão de Curso, no contexto da graduação e especialmente nas licenciaturas, cursos de formação docente, visa contribuir para que se alcancem os objetivos, de formar profissionais competentes, cidadãos éticos e com preocupação estética.  A relação entre a pesquisa a ser realizada e a vivência prática do estudante, sua realidade </w:t>
      </w:r>
      <w:proofErr w:type="spellStart"/>
      <w:r>
        <w:t>locorregional</w:t>
      </w:r>
      <w:proofErr w:type="spellEnd"/>
      <w:r>
        <w:t>, apresenta- se como um elemento fundamental para garantir que haja comprometimento do aluno-pesquisador com seu objeto de estudo, uma vez que vai buscar relacionar as teorias que estudou durante o curso de graduação, com a prática, entendida como o real manifesto de forma concreta nos problemas e desafios da sua cidade, da comunidade onde vive. Assim, o TCC, se torna além da iniciação ao mundo da pesquisa acadêmica, também uma possibilidade de desenvolver, de alguma forma, a análise, a crítica e a intervenção na realidade local. Ao valorizar as experiências singulares dos nossos estudantes, em especial daqueles que realizam o curso na modalidade Ea</w:t>
      </w:r>
      <w:r w:rsidR="00E269C7">
        <w:t>D</w:t>
      </w:r>
      <w:r>
        <w:t xml:space="preserve"> a partir de polos internacionais, se explicita o alcance desta modalidade, que rompe as distâncias: </w:t>
      </w:r>
    </w:p>
    <w:p w14:paraId="5A7C62DE" w14:textId="77777777" w:rsidR="00584823" w:rsidRDefault="00584823">
      <w:pPr>
        <w:ind w:left="0"/>
      </w:pPr>
      <w:bookmarkStart w:id="2" w:name="_heading=h.gk6dqmvly3mc" w:colFirst="0" w:colLast="0"/>
      <w:bookmarkEnd w:id="2"/>
    </w:p>
    <w:p w14:paraId="70E9D076" w14:textId="223FAB92" w:rsidR="00584823" w:rsidRDefault="00F92BD8">
      <w:pPr>
        <w:keepNext/>
        <w:pBdr>
          <w:top w:val="nil"/>
          <w:left w:val="nil"/>
          <w:bottom w:val="nil"/>
          <w:right w:val="nil"/>
          <w:between w:val="nil"/>
        </w:pBdr>
        <w:spacing w:line="240" w:lineRule="auto"/>
        <w:ind w:left="1" w:hanging="3"/>
        <w:jc w:val="left"/>
        <w:rPr>
          <w:b/>
          <w:color w:val="000000"/>
          <w:sz w:val="28"/>
          <w:szCs w:val="28"/>
        </w:rPr>
      </w:pPr>
      <w:r>
        <w:rPr>
          <w:b/>
          <w:color w:val="000000"/>
          <w:sz w:val="28"/>
          <w:szCs w:val="28"/>
        </w:rPr>
        <w:t xml:space="preserve">3 </w:t>
      </w:r>
      <w:r w:rsidR="00DC0130" w:rsidRPr="00DC0130">
        <w:rPr>
          <w:b/>
          <w:color w:val="000000"/>
          <w:sz w:val="28"/>
          <w:szCs w:val="28"/>
        </w:rPr>
        <w:t>Designer Instrucional de Orientação e Acompanhamento do TCC nos Polos Internacionais</w:t>
      </w:r>
    </w:p>
    <w:p w14:paraId="7DD184A1" w14:textId="77777777" w:rsidR="00972AE4" w:rsidRDefault="00972AE4">
      <w:pPr>
        <w:keepNext/>
        <w:pBdr>
          <w:top w:val="nil"/>
          <w:left w:val="nil"/>
          <w:bottom w:val="nil"/>
          <w:right w:val="nil"/>
          <w:between w:val="nil"/>
        </w:pBdr>
        <w:spacing w:line="240" w:lineRule="auto"/>
        <w:ind w:left="1" w:hanging="3"/>
        <w:jc w:val="left"/>
        <w:rPr>
          <w:b/>
          <w:color w:val="000000"/>
          <w:sz w:val="28"/>
          <w:szCs w:val="28"/>
        </w:rPr>
      </w:pPr>
    </w:p>
    <w:p w14:paraId="186357D2" w14:textId="764215FA" w:rsidR="00CE1C5E" w:rsidRDefault="00CE1C5E" w:rsidP="00972AE4">
      <w:pPr>
        <w:ind w:left="0"/>
      </w:pPr>
      <w:bookmarkStart w:id="3" w:name="_heading=h.34exckg3ys2f" w:colFirst="0" w:colLast="0"/>
      <w:bookmarkEnd w:id="3"/>
      <w:r>
        <w:t xml:space="preserve">O TCC (Trabalho de Conclusão de Curso) é um trabalho científico, resultado de uma pesquisa elaborada a partir das práticas realizadas e dos requisitos científicos de sua área específica. Esses requisitos variam de acordo com as diversas áreas de conhecimento.  </w:t>
      </w:r>
    </w:p>
    <w:p w14:paraId="72EB5B2B" w14:textId="13C79637" w:rsidR="00CE1C5E" w:rsidRDefault="002C01E7" w:rsidP="00972AE4">
      <w:pPr>
        <w:ind w:left="0"/>
      </w:pPr>
      <w:r>
        <w:t>Para o acadêmico de graduação</w:t>
      </w:r>
      <w:r w:rsidR="005D3658">
        <w:t>, trata-se de uma</w:t>
      </w:r>
      <w:r w:rsidR="00CE1C5E">
        <w:t xml:space="preserve"> oportunidade para demonstrar que aprendeu a relacionar a teoria com a prática e a usar as ferramentas e os conhecimentos obtidos durante o curso de </w:t>
      </w:r>
      <w:r w:rsidR="005D3658">
        <w:t>ensino superior</w:t>
      </w:r>
      <w:r w:rsidR="00CE1C5E">
        <w:t xml:space="preserve">, além de possibilitar o primeiro passo para futuras pesquisas acadêmicas. </w:t>
      </w:r>
    </w:p>
    <w:p w14:paraId="15716C56" w14:textId="7C5E4F8B" w:rsidR="00CE1C5E" w:rsidRDefault="00CE1C5E" w:rsidP="00D7318C">
      <w:pPr>
        <w:ind w:left="0"/>
      </w:pPr>
      <w:r>
        <w:t xml:space="preserve">Na </w:t>
      </w:r>
      <w:r w:rsidR="00972AE4">
        <w:t>IES</w:t>
      </w:r>
      <w:r w:rsidR="007B1A56">
        <w:t xml:space="preserve"> investigada,</w:t>
      </w:r>
      <w:r>
        <w:t xml:space="preserve"> a escrita e pesquisa do TCC</w:t>
      </w:r>
      <w:r w:rsidR="007B1A56">
        <w:t xml:space="preserve"> têm</w:t>
      </w:r>
      <w:r>
        <w:t xml:space="preserve"> como base os eixos de pesquisa e as atividades práticas realizadas durante o curso (</w:t>
      </w:r>
      <w:proofErr w:type="spellStart"/>
      <w:r>
        <w:t>locorregionais</w:t>
      </w:r>
      <w:proofErr w:type="spellEnd"/>
      <w:r>
        <w:t>, estudo de caso, portfólio), bem como os referenciais teóricos estudados. Todo estudante de graduação precisa elaborar o trabalho de conclusão de curso para poder aliar a teoria à prática no que tange à sua formação profissional e pedagógica, assim como, para ampliar, sistematizar, registrar e apresentar conhecimentos científicos</w:t>
      </w:r>
      <w:r w:rsidR="007240EA">
        <w:t>,</w:t>
      </w:r>
      <w:r>
        <w:t xml:space="preserve"> técnicos e culturais produzidos a partir de temáticas do curso como resultado de pesquisa. Sabe-se que o TCC é uma exigência determinada pela atual Lei de Diretrizes e Bases da Educação Nacional - Lei nº 9394/96 e pelas diretrizes do curso (DCNs) </w:t>
      </w:r>
      <w:r w:rsidR="007240EA">
        <w:t>que indicam</w:t>
      </w:r>
      <w:r>
        <w:t xml:space="preserve"> a carga horária curricular estipulada para a sua realização. Por fim, para aqueles que já atuam na profissão e </w:t>
      </w:r>
      <w:r>
        <w:lastRenderedPageBreak/>
        <w:t xml:space="preserve">buscam aperfeiçoamento, certificação e/ou progressão na carreira, o TCC significa: espaço de formação contínua, reflexão sobre a própria prática, análise de outras práticas a partir das teorias estudadas. </w:t>
      </w:r>
    </w:p>
    <w:p w14:paraId="66B28C51" w14:textId="1E5422E4" w:rsidR="00CE1C5E" w:rsidRDefault="00F05AFB" w:rsidP="00D7318C">
      <w:pPr>
        <w:ind w:left="0"/>
      </w:pPr>
      <w:r>
        <w:t xml:space="preserve">Por conseguinte, a IES </w:t>
      </w:r>
      <w:r w:rsidR="00AD0DF3">
        <w:t>produziu um designer instrucional para orientação e acompanhamento d</w:t>
      </w:r>
      <w:r w:rsidR="00B32D3D">
        <w:t xml:space="preserve">o TCC nos Polos Internacionais, </w:t>
      </w:r>
      <w:r w:rsidR="004C7EC8">
        <w:t xml:space="preserve">tomando como gênero textual final o </w:t>
      </w:r>
      <w:r w:rsidR="00CE1C5E">
        <w:t xml:space="preserve">resumo expandido. </w:t>
      </w:r>
      <w:r w:rsidR="003962A9">
        <w:t xml:space="preserve">O processo de investigação </w:t>
      </w:r>
      <w:r w:rsidR="004206F3">
        <w:t>poderá</w:t>
      </w:r>
      <w:r w:rsidR="00CE1C5E">
        <w:t xml:space="preserve"> ser realizad</w:t>
      </w:r>
      <w:r w:rsidR="004206F3">
        <w:t>o</w:t>
      </w:r>
      <w:r w:rsidR="00CE1C5E">
        <w:t xml:space="preserve"> individualmente ou em grupo – de 1 a 4 estudantes – sendo que todos os alunos do grupo devem ser do mesmo curso, da mesma oferta e da mesma turma. O gênero textual resumo expandido foi adotado na </w:t>
      </w:r>
      <w:r w:rsidR="00EF5EDC">
        <w:t xml:space="preserve">IES </w:t>
      </w:r>
      <w:r w:rsidR="00CE1C5E">
        <w:t xml:space="preserve">desde o início do ano de 2024. </w:t>
      </w:r>
    </w:p>
    <w:p w14:paraId="11336CA5" w14:textId="6EDA4614" w:rsidR="00CE1C5E" w:rsidRDefault="008E27FB" w:rsidP="00D7318C">
      <w:pPr>
        <w:ind w:left="0"/>
      </w:pPr>
      <w:r>
        <w:t>A opção pelo</w:t>
      </w:r>
      <w:r w:rsidR="00CE1C5E">
        <w:t xml:space="preserve"> resumo expandido deve</w:t>
      </w:r>
      <w:r>
        <w:t xml:space="preserve">-se </w:t>
      </w:r>
      <w:r w:rsidR="005807FC">
        <w:t>em função de sua capacidade de</w:t>
      </w:r>
      <w:r w:rsidR="00CE1C5E">
        <w:t xml:space="preserve"> apresentar, de forma concisa, a ideia geral d</w:t>
      </w:r>
      <w:r w:rsidR="005807FC">
        <w:t>o</w:t>
      </w:r>
      <w:r w:rsidR="00CE1C5E">
        <w:t xml:space="preserve"> tema</w:t>
      </w:r>
      <w:r w:rsidR="005807FC">
        <w:t xml:space="preserve"> e do problema</w:t>
      </w:r>
      <w:r w:rsidR="00917DC8">
        <w:t xml:space="preserve"> investigado</w:t>
      </w:r>
      <w:r w:rsidR="00822E2D">
        <w:t xml:space="preserve">, materializando o </w:t>
      </w:r>
      <w:r w:rsidR="00CE1C5E">
        <w:t>resultado do que o estudante pesquisou e exper</w:t>
      </w:r>
      <w:r w:rsidR="00C40D72">
        <w:t>i</w:t>
      </w:r>
      <w:r w:rsidR="00CE1C5E">
        <w:t xml:space="preserve">enciou com as atividades práticas </w:t>
      </w:r>
      <w:proofErr w:type="spellStart"/>
      <w:r w:rsidR="00CE1C5E">
        <w:t>locorregionais</w:t>
      </w:r>
      <w:proofErr w:type="spellEnd"/>
      <w:r w:rsidR="00CE1C5E">
        <w:t xml:space="preserve"> (estudo de caso, portfólio e atividade </w:t>
      </w:r>
      <w:proofErr w:type="spellStart"/>
      <w:r w:rsidR="00CE1C5E">
        <w:t>locorregional</w:t>
      </w:r>
      <w:proofErr w:type="spellEnd"/>
      <w:r w:rsidR="00CE1C5E">
        <w:t xml:space="preserve">) </w:t>
      </w:r>
      <w:r w:rsidR="00C40D72">
        <w:t>desenvolvidas</w:t>
      </w:r>
      <w:r w:rsidR="00CE1C5E">
        <w:t xml:space="preserve"> durante a trajetória acadêmica no seu curso.  </w:t>
      </w:r>
    </w:p>
    <w:p w14:paraId="12699AC3" w14:textId="4FD547E1" w:rsidR="00CE1C5E" w:rsidRDefault="00CE1C5E" w:rsidP="00D7318C">
      <w:pPr>
        <w:ind w:left="0"/>
      </w:pPr>
      <w:r>
        <w:t xml:space="preserve">Dessa forma, é a partir de temáticas pesquisadas, discutidas e vivenciadas nas atividades práticas que o resumo expandido será desenvolvido, expondo a pesquisa e a reflexão sobre as práticas </w:t>
      </w:r>
      <w:proofErr w:type="spellStart"/>
      <w:r>
        <w:t>locorregionais</w:t>
      </w:r>
      <w:proofErr w:type="spellEnd"/>
      <w:r>
        <w:t xml:space="preserve"> realizadas, as teorias estudadas, as descobertas regionais que foram feitas, os problemas que foram observados, bem como a importância da </w:t>
      </w:r>
      <w:r w:rsidR="00361D72">
        <w:t>pesquisa</w:t>
      </w:r>
      <w:r>
        <w:t xml:space="preserve"> para a formação humana e acadêmica. </w:t>
      </w:r>
    </w:p>
    <w:p w14:paraId="73B911CF" w14:textId="1C0AA40E" w:rsidR="00AF19FD" w:rsidRDefault="001A1E24" w:rsidP="00D7318C">
      <w:pPr>
        <w:ind w:left="0"/>
      </w:pPr>
      <w:r>
        <w:t>A produção do TCC tem como</w:t>
      </w:r>
      <w:r w:rsidR="00CE1C5E">
        <w:t xml:space="preserve"> ponto de partida </w:t>
      </w:r>
      <w:r w:rsidR="00C20D14">
        <w:t>a</w:t>
      </w:r>
      <w:r w:rsidR="00CE1C5E">
        <w:t xml:space="preserve"> escolh</w:t>
      </w:r>
      <w:r w:rsidR="00C20D14">
        <w:t>a de</w:t>
      </w:r>
      <w:r w:rsidR="00CE1C5E">
        <w:t xml:space="preserve"> um dos eixos de pesquisa do curso de graduação</w:t>
      </w:r>
      <w:r w:rsidR="00C20D14">
        <w:t>, sendo o acadêmico instigado p</w:t>
      </w:r>
      <w:r w:rsidR="00436AC2">
        <w:t>ara</w:t>
      </w:r>
      <w:r w:rsidR="00CE1C5E">
        <w:t xml:space="preserve"> </w:t>
      </w:r>
      <w:r w:rsidR="00436AC2">
        <w:t xml:space="preserve">cotejar seu </w:t>
      </w:r>
      <w:r w:rsidR="00DB1C97">
        <w:t>problema de investigação às</w:t>
      </w:r>
      <w:r w:rsidR="00CE1C5E">
        <w:t xml:space="preserve"> práticas realizadas</w:t>
      </w:r>
      <w:r w:rsidR="00DB1C97">
        <w:t xml:space="preserve"> durante toda a trajetória acadêmica</w:t>
      </w:r>
      <w:r w:rsidR="00CE1C5E">
        <w:t xml:space="preserve">, </w:t>
      </w:r>
      <w:r w:rsidR="00AF19FD">
        <w:t xml:space="preserve">as quais envolvem desde Estudos de Caso, Portfólios, Monitoria, Estágio </w:t>
      </w:r>
      <w:r w:rsidR="00AF565B">
        <w:t>até</w:t>
      </w:r>
      <w:r w:rsidR="00AF19FD">
        <w:t xml:space="preserve"> Atividades Práticas </w:t>
      </w:r>
      <w:proofErr w:type="spellStart"/>
      <w:r w:rsidR="00AF19FD">
        <w:t>Locorregionais</w:t>
      </w:r>
      <w:proofErr w:type="spellEnd"/>
      <w:r w:rsidR="00AF19FD">
        <w:t>.</w:t>
      </w:r>
    </w:p>
    <w:p w14:paraId="5B05D1C0" w14:textId="2216DCC9" w:rsidR="00CE1C5E" w:rsidRDefault="00B72C8B" w:rsidP="00B874C2">
      <w:pPr>
        <w:ind w:left="0"/>
      </w:pPr>
      <w:r>
        <w:t xml:space="preserve">O resultado da pesquisa será organizado </w:t>
      </w:r>
      <w:r w:rsidR="00CE1C5E">
        <w:t>nos seguintes tópicos:  introdução</w:t>
      </w:r>
      <w:r>
        <w:t xml:space="preserve">; </w:t>
      </w:r>
      <w:r w:rsidR="00CE1C5E">
        <w:t>metodologia</w:t>
      </w:r>
      <w:r w:rsidR="00B874C2">
        <w:t xml:space="preserve">; </w:t>
      </w:r>
      <w:r w:rsidR="00CE1C5E">
        <w:t>discussões teóricas e resultados</w:t>
      </w:r>
      <w:r w:rsidR="00B874C2">
        <w:t xml:space="preserve">; </w:t>
      </w:r>
      <w:r w:rsidR="00CE1C5E">
        <w:t>considerações</w:t>
      </w:r>
      <w:r w:rsidR="00B874C2">
        <w:t xml:space="preserve"> finais e </w:t>
      </w:r>
      <w:r w:rsidR="00CE1C5E">
        <w:t xml:space="preserve">  </w:t>
      </w:r>
      <w:r w:rsidR="00B874C2">
        <w:t>r</w:t>
      </w:r>
      <w:r w:rsidR="00CE1C5E">
        <w:t>eferências</w:t>
      </w:r>
      <w:r w:rsidR="00B874C2">
        <w:t xml:space="preserve">. </w:t>
      </w:r>
      <w:r w:rsidR="00CE1C5E">
        <w:t xml:space="preserve">Sobre a extensão deverá ter de 3 a 7 páginas considerando as referências. </w:t>
      </w:r>
    </w:p>
    <w:p w14:paraId="21BBFF0C" w14:textId="28920383" w:rsidR="009C0D5D" w:rsidRDefault="00CA5599" w:rsidP="005F2F54">
      <w:pPr>
        <w:ind w:leftChars="0" w:left="0" w:firstLineChars="0" w:firstLine="0"/>
      </w:pPr>
      <w:r>
        <w:t>Cabe ainda frisar, que o</w:t>
      </w:r>
      <w:r w:rsidR="00CE1C5E">
        <w:t>s eixos de pesquisa são essenciais para a delimitação e aprofundamento na temática escolhida.</w:t>
      </w:r>
      <w:r w:rsidR="00BD2811">
        <w:t xml:space="preserve"> </w:t>
      </w:r>
      <w:r w:rsidR="00CE1C5E">
        <w:t xml:space="preserve">A </w:t>
      </w:r>
      <w:r>
        <w:t>figura</w:t>
      </w:r>
      <w:r w:rsidR="005F2F54">
        <w:t xml:space="preserve"> 1</w:t>
      </w:r>
      <w:r w:rsidR="00CE1C5E">
        <w:t xml:space="preserve"> apesenta o curso com suas respectivas linhas de pesquisa:</w:t>
      </w:r>
    </w:p>
    <w:p w14:paraId="510A13EC" w14:textId="566111B9" w:rsidR="00BD2811" w:rsidRPr="003A4A8F" w:rsidRDefault="003A4A8F" w:rsidP="003A4A8F">
      <w:pPr>
        <w:ind w:leftChars="0" w:left="0" w:firstLineChars="0" w:firstLine="0"/>
        <w:jc w:val="center"/>
        <w:rPr>
          <w:sz w:val="20"/>
          <w:szCs w:val="20"/>
        </w:rPr>
      </w:pPr>
      <w:r w:rsidRPr="003A4A8F">
        <w:rPr>
          <w:sz w:val="20"/>
          <w:szCs w:val="20"/>
        </w:rPr>
        <w:t>Figura</w:t>
      </w:r>
      <w:r w:rsidR="00BD2811" w:rsidRPr="003A4A8F">
        <w:rPr>
          <w:sz w:val="20"/>
          <w:szCs w:val="20"/>
        </w:rPr>
        <w:t xml:space="preserve"> 1 </w:t>
      </w:r>
      <w:r w:rsidR="002D5CD1" w:rsidRPr="003A4A8F">
        <w:rPr>
          <w:sz w:val="20"/>
          <w:szCs w:val="20"/>
        </w:rPr>
        <w:t>–</w:t>
      </w:r>
      <w:r w:rsidR="00BD2811" w:rsidRPr="003A4A8F">
        <w:rPr>
          <w:sz w:val="20"/>
          <w:szCs w:val="20"/>
        </w:rPr>
        <w:t xml:space="preserve"> </w:t>
      </w:r>
      <w:r w:rsidR="002D5CD1" w:rsidRPr="003A4A8F">
        <w:rPr>
          <w:sz w:val="20"/>
          <w:szCs w:val="20"/>
        </w:rPr>
        <w:t>Linhas de pesquisa, por curso de graduação, para elaboração do Trabalho de Conclusão de Curso (TCC)</w:t>
      </w:r>
      <w:r w:rsidR="004E5E79" w:rsidRPr="003A4A8F">
        <w:rPr>
          <w:sz w:val="20"/>
          <w:szCs w:val="20"/>
        </w:rPr>
        <w:t>.</w:t>
      </w:r>
    </w:p>
    <w:p w14:paraId="08DF1C1D" w14:textId="5AD24F1D" w:rsidR="005F2F54" w:rsidRDefault="00B20E26" w:rsidP="004E5E79">
      <w:pPr>
        <w:ind w:leftChars="0" w:left="0" w:firstLineChars="0" w:firstLine="0"/>
      </w:pPr>
      <w:r>
        <w:rPr>
          <w:noProof/>
        </w:rPr>
        <w:drawing>
          <wp:inline distT="0" distB="0" distL="0" distR="0" wp14:anchorId="7BC519EE" wp14:editId="2A7DA4CF">
            <wp:extent cx="5372901" cy="2946949"/>
            <wp:effectExtent l="0" t="0" r="0" b="6350"/>
            <wp:docPr id="134075642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6">
                      <a:extLst>
                        <a:ext uri="{28A0092B-C50C-407E-A947-70E740481C1C}">
                          <a14:useLocalDpi xmlns:a14="http://schemas.microsoft.com/office/drawing/2010/main" val="0"/>
                        </a:ext>
                      </a:extLst>
                    </a:blip>
                    <a:stretch>
                      <a:fillRect/>
                    </a:stretch>
                  </pic:blipFill>
                  <pic:spPr>
                    <a:xfrm>
                      <a:off x="0" y="0"/>
                      <a:ext cx="5378211" cy="2949862"/>
                    </a:xfrm>
                    <a:prstGeom prst="rect">
                      <a:avLst/>
                    </a:prstGeom>
                  </pic:spPr>
                </pic:pic>
              </a:graphicData>
            </a:graphic>
          </wp:inline>
        </w:drawing>
      </w:r>
      <w:bookmarkStart w:id="4" w:name="_heading=h.30ksoh3e7crs"/>
      <w:bookmarkEnd w:id="4"/>
    </w:p>
    <w:p w14:paraId="4DF1B93F" w14:textId="7E52FD1D" w:rsidR="009A1A06" w:rsidRPr="009A1A06" w:rsidRDefault="009A1A06" w:rsidP="004E5E79">
      <w:pPr>
        <w:ind w:leftChars="0" w:left="0" w:firstLineChars="0" w:firstLine="0"/>
        <w:rPr>
          <w:sz w:val="20"/>
          <w:szCs w:val="20"/>
        </w:rPr>
      </w:pPr>
      <w:r w:rsidRPr="009A1A06">
        <w:rPr>
          <w:sz w:val="20"/>
          <w:szCs w:val="20"/>
        </w:rPr>
        <w:t>Fonte: Manual de Orientação de TCC da IES (2024).</w:t>
      </w:r>
    </w:p>
    <w:p w14:paraId="6C2F85CF" w14:textId="77777777" w:rsidR="006D43D9" w:rsidRDefault="007A7F2F" w:rsidP="006A6260">
      <w:pPr>
        <w:keepNext/>
        <w:pBdr>
          <w:top w:val="nil"/>
          <w:left w:val="nil"/>
          <w:bottom w:val="nil"/>
          <w:right w:val="nil"/>
          <w:between w:val="nil"/>
        </w:pBdr>
        <w:spacing w:line="240" w:lineRule="auto"/>
        <w:ind w:left="0"/>
      </w:pPr>
      <w:r>
        <w:lastRenderedPageBreak/>
        <w:t>Por fim, é mister sublinhar que o</w:t>
      </w:r>
      <w:r w:rsidR="006A6260">
        <w:t xml:space="preserve"> trabalho de conclusão de curso é realizado em 4 etapas</w:t>
      </w:r>
      <w:r w:rsidR="001F2C56">
        <w:t xml:space="preserve">: projeto de pesquisa; participação </w:t>
      </w:r>
      <w:r w:rsidR="008F61AF">
        <w:t xml:space="preserve">síncrona nos encontros de orientação e acompanhamento; </w:t>
      </w:r>
      <w:r w:rsidR="006D43D9">
        <w:t>produção do resumo expandido e defesa oral da investigação concluída.</w:t>
      </w:r>
    </w:p>
    <w:p w14:paraId="643C5A9A" w14:textId="4C530652" w:rsidR="006A6260" w:rsidRDefault="00DF1094" w:rsidP="006A6260">
      <w:pPr>
        <w:keepNext/>
        <w:pBdr>
          <w:top w:val="nil"/>
          <w:left w:val="nil"/>
          <w:bottom w:val="nil"/>
          <w:right w:val="nil"/>
          <w:between w:val="nil"/>
        </w:pBdr>
        <w:spacing w:line="240" w:lineRule="auto"/>
        <w:ind w:left="0"/>
      </w:pPr>
      <w:r>
        <w:t>Para propor seu projeto de pesquisa</w:t>
      </w:r>
      <w:r w:rsidR="00D47383">
        <w:t>, o acadêmico</w:t>
      </w:r>
      <w:r w:rsidR="006A6260">
        <w:t xml:space="preserve"> </w:t>
      </w:r>
      <w:r w:rsidR="00D47383">
        <w:t>escolhe</w:t>
      </w:r>
      <w:r w:rsidR="006A6260">
        <w:t xml:space="preserve"> o tema da sua </w:t>
      </w:r>
      <w:r w:rsidR="00BA41D1">
        <w:t>investigação</w:t>
      </w:r>
      <w:r w:rsidR="006A6260">
        <w:t xml:space="preserve"> a partir da </w:t>
      </w:r>
      <w:r w:rsidR="00BA41D1">
        <w:t>seleção</w:t>
      </w:r>
      <w:r w:rsidR="006A6260">
        <w:t xml:space="preserve"> do eixo de pesquisa. A segunda etapa é a participação em reuniões síncronas para orientação, seguindo um cronograma disponibilizado no roteiro de estudos com </w:t>
      </w:r>
      <w:r w:rsidR="00A855D7">
        <w:t>datas pré-fixadas</w:t>
      </w:r>
      <w:r w:rsidR="006A6260">
        <w:t>.</w:t>
      </w:r>
      <w:r w:rsidR="002622F6">
        <w:t xml:space="preserve"> </w:t>
      </w:r>
      <w:r w:rsidR="006A6260">
        <w:t>Para comprovação da participação, após os encontros o estudante deve solicitar</w:t>
      </w:r>
      <w:r w:rsidR="00F90304">
        <w:t>,</w:t>
      </w:r>
      <w:r w:rsidR="006A6260">
        <w:t xml:space="preserve"> via tutoria</w:t>
      </w:r>
      <w:r w:rsidR="00F90304">
        <w:t>,</w:t>
      </w:r>
      <w:r w:rsidR="006A6260">
        <w:t xml:space="preserve"> uma declaração de frequência</w:t>
      </w:r>
      <w:r w:rsidR="0076087E">
        <w:t>. A mesma</w:t>
      </w:r>
      <w:r w:rsidR="002622F6">
        <w:t xml:space="preserve"> será postada, </w:t>
      </w:r>
      <w:r w:rsidR="006A6260">
        <w:t>posteriormente</w:t>
      </w:r>
      <w:r w:rsidR="004B0A73">
        <w:t>,</w:t>
      </w:r>
      <w:r w:rsidR="006A6260">
        <w:t xml:space="preserve"> com o resumo expandido. </w:t>
      </w:r>
    </w:p>
    <w:p w14:paraId="0DE1FA1B" w14:textId="624FB110" w:rsidR="005F2F54" w:rsidRDefault="006A6260" w:rsidP="006A6260">
      <w:pPr>
        <w:keepNext/>
        <w:pBdr>
          <w:top w:val="nil"/>
          <w:left w:val="nil"/>
          <w:bottom w:val="nil"/>
          <w:right w:val="nil"/>
          <w:between w:val="nil"/>
        </w:pBdr>
        <w:spacing w:line="240" w:lineRule="auto"/>
        <w:ind w:leftChars="0" w:left="0" w:firstLineChars="0" w:firstLine="0"/>
        <w:rPr>
          <w:b/>
          <w:color w:val="000000"/>
          <w:sz w:val="28"/>
          <w:szCs w:val="28"/>
        </w:rPr>
      </w:pPr>
      <w:r>
        <w:t>A terceira etapa é o resumo expandido, escrito a partir do projeto de pesquisa.  A quarta etapa é a apresentação/defesa, com o resumo expandido aprovado, ao final do curso, o estudante agenda a apresentação que terá na composição da banca um ou dois professores que irão avaliar o trabalho e a apresentação. Toda essa estrutura possibilita ao estudante o acompanhamento e orientação no processo de pesquisa e escrita do TCC, que engloba a escolha do tema, definição do problema, revisão da literatura e metodologia. Essa trajetória torna o processo de orientação de TCC mais eficaz e produtivo, garantindo que os alunos desenvolvam habilidades importantes para sua formação acadêmica e profissional.</w:t>
      </w:r>
    </w:p>
    <w:p w14:paraId="52E2C100" w14:textId="77777777" w:rsidR="005F2F54" w:rsidRDefault="005F2F54" w:rsidP="0091631F">
      <w:pPr>
        <w:keepNext/>
        <w:pBdr>
          <w:top w:val="nil"/>
          <w:left w:val="nil"/>
          <w:bottom w:val="nil"/>
          <w:right w:val="nil"/>
          <w:between w:val="nil"/>
        </w:pBdr>
        <w:spacing w:line="240" w:lineRule="auto"/>
        <w:ind w:leftChars="0" w:left="0" w:firstLineChars="0" w:firstLine="0"/>
        <w:jc w:val="left"/>
        <w:rPr>
          <w:b/>
          <w:color w:val="000000"/>
          <w:sz w:val="28"/>
          <w:szCs w:val="28"/>
        </w:rPr>
      </w:pPr>
    </w:p>
    <w:p w14:paraId="162320FF" w14:textId="707C2A22" w:rsidR="00584823" w:rsidRDefault="00F92BD8">
      <w:pPr>
        <w:keepNext/>
        <w:pBdr>
          <w:top w:val="nil"/>
          <w:left w:val="nil"/>
          <w:bottom w:val="nil"/>
          <w:right w:val="nil"/>
          <w:between w:val="nil"/>
        </w:pBdr>
        <w:spacing w:line="240" w:lineRule="auto"/>
        <w:ind w:left="1" w:hanging="3"/>
        <w:jc w:val="left"/>
        <w:rPr>
          <w:b/>
          <w:color w:val="000000"/>
          <w:sz w:val="28"/>
          <w:szCs w:val="28"/>
        </w:rPr>
      </w:pPr>
      <w:r>
        <w:rPr>
          <w:b/>
          <w:color w:val="000000"/>
          <w:sz w:val="28"/>
          <w:szCs w:val="28"/>
        </w:rPr>
        <w:t xml:space="preserve">4. </w:t>
      </w:r>
      <w:r w:rsidR="0060193B" w:rsidRPr="0060193B">
        <w:rPr>
          <w:b/>
          <w:color w:val="000000"/>
          <w:sz w:val="28"/>
          <w:szCs w:val="28"/>
        </w:rPr>
        <w:t>Considerações Finais</w:t>
      </w:r>
      <w:r>
        <w:rPr>
          <w:b/>
          <w:color w:val="000000"/>
          <w:sz w:val="28"/>
          <w:szCs w:val="28"/>
        </w:rPr>
        <w:t xml:space="preserve"> </w:t>
      </w:r>
    </w:p>
    <w:p w14:paraId="5F78403F" w14:textId="77777777" w:rsidR="0060193B" w:rsidRDefault="0060193B">
      <w:pPr>
        <w:ind w:left="0"/>
      </w:pPr>
    </w:p>
    <w:p w14:paraId="253E6DC5" w14:textId="39456385" w:rsidR="005B77DF" w:rsidRDefault="005B77DF" w:rsidP="005B77DF">
      <w:pPr>
        <w:ind w:left="0"/>
      </w:pPr>
      <w:bookmarkStart w:id="5" w:name="_heading=h.62ac4jj3qe4c" w:colFirst="0" w:colLast="0"/>
      <w:bookmarkEnd w:id="5"/>
      <w:r>
        <w:t xml:space="preserve">A evolução tecnológica trouxe </w:t>
      </w:r>
      <w:r w:rsidR="00BA7A51">
        <w:t xml:space="preserve">novos </w:t>
      </w:r>
      <w:r>
        <w:t>desafios para a educação, exigindo uma dinâmica</w:t>
      </w:r>
      <w:r w:rsidR="00BA7A51">
        <w:t xml:space="preserve"> </w:t>
      </w:r>
      <w:r w:rsidR="0007745C">
        <w:t>renovada</w:t>
      </w:r>
      <w:r>
        <w:t xml:space="preserve"> nas formas de comunicação e interação </w:t>
      </w:r>
      <w:r w:rsidR="0007745C">
        <w:t>entre estudantes</w:t>
      </w:r>
      <w:r w:rsidR="00E94D34">
        <w:t xml:space="preserve">, professores e conhecimento. </w:t>
      </w:r>
      <w:r w:rsidR="00586459">
        <w:t xml:space="preserve">Neste cenário, </w:t>
      </w:r>
      <w:r w:rsidR="00465752">
        <w:t>a</w:t>
      </w:r>
      <w:r>
        <w:t xml:space="preserve"> Educação a Distância se apresenta como uma modalidade </w:t>
      </w:r>
      <w:r w:rsidR="00D9035B">
        <w:t xml:space="preserve">que amplia </w:t>
      </w:r>
      <w:r>
        <w:t>o acesso democrático ao conhecimento</w:t>
      </w:r>
      <w:r w:rsidR="00D9035B">
        <w:t xml:space="preserve"> e ao ensino superior</w:t>
      </w:r>
      <w:r w:rsidR="00FB00E9">
        <w:t xml:space="preserve"> ao</w:t>
      </w:r>
      <w:r>
        <w:t xml:space="preserve"> oferece</w:t>
      </w:r>
      <w:r w:rsidR="00FB00E9">
        <w:t>r</w:t>
      </w:r>
      <w:r>
        <w:t xml:space="preserve"> maior flexibilidade </w:t>
      </w:r>
      <w:r w:rsidR="0022285F">
        <w:t>nas experiências de aprendizagens dos acadêmicos</w:t>
      </w:r>
      <w:r w:rsidR="002F40A1">
        <w:t xml:space="preserve"> e </w:t>
      </w:r>
      <w:r w:rsidR="008D624A">
        <w:t>fomentar sua autonomia intelectual</w:t>
      </w:r>
      <w:r>
        <w:t xml:space="preserve">. </w:t>
      </w:r>
    </w:p>
    <w:p w14:paraId="67A7E706" w14:textId="48B0A579" w:rsidR="005B77DF" w:rsidRDefault="00B354E2" w:rsidP="00502F83">
      <w:pPr>
        <w:ind w:left="0"/>
      </w:pPr>
      <w:r>
        <w:t>O relato de experiência</w:t>
      </w:r>
      <w:r w:rsidR="003A5F6B">
        <w:t xml:space="preserve"> apresentado neste artigo</w:t>
      </w:r>
      <w:r w:rsidR="00852F0E">
        <w:t xml:space="preserve"> </w:t>
      </w:r>
      <w:r w:rsidR="009F4EF2">
        <w:t>permitiu ilustrar</w:t>
      </w:r>
      <w:r w:rsidR="00406F9A">
        <w:t xml:space="preserve"> o potencial</w:t>
      </w:r>
      <w:r w:rsidR="005B77DF">
        <w:t xml:space="preserve"> </w:t>
      </w:r>
      <w:r w:rsidR="00406F9A">
        <w:t xml:space="preserve">dos </w:t>
      </w:r>
      <w:r w:rsidR="005B77DF">
        <w:t xml:space="preserve">conceitos de engajamento e responsividade </w:t>
      </w:r>
      <w:r w:rsidR="00406F9A">
        <w:t xml:space="preserve">como </w:t>
      </w:r>
      <w:r w:rsidR="00BC2533">
        <w:t xml:space="preserve">impulsionadores de uma nova </w:t>
      </w:r>
      <w:r w:rsidR="00E00F6A">
        <w:t xml:space="preserve">práxis pedagógica </w:t>
      </w:r>
      <w:r w:rsidR="00A24608">
        <w:t>e</w:t>
      </w:r>
      <w:r w:rsidR="005B77DF">
        <w:t xml:space="preserve"> </w:t>
      </w:r>
      <w:r w:rsidR="00BC2533">
        <w:t xml:space="preserve">como </w:t>
      </w:r>
      <w:r w:rsidR="005B77DF">
        <w:t>agente</w:t>
      </w:r>
      <w:r w:rsidR="00BC2533">
        <w:t>s</w:t>
      </w:r>
      <w:r w:rsidR="005B77DF">
        <w:t xml:space="preserve"> de mudança no contexto educacional</w:t>
      </w:r>
      <w:r w:rsidR="00A24608">
        <w:t>/profissional</w:t>
      </w:r>
      <w:r w:rsidR="005B77DF">
        <w:t xml:space="preserve">, </w:t>
      </w:r>
      <w:r w:rsidR="00A24608">
        <w:t xml:space="preserve">a partir </w:t>
      </w:r>
      <w:r w:rsidR="000B3711">
        <w:t xml:space="preserve">de um novo designer instrucional para o TCC. </w:t>
      </w:r>
      <w:r w:rsidR="00D26153">
        <w:t>Esses elementos basilares</w:t>
      </w:r>
      <w:r w:rsidR="006810CE">
        <w:t>,</w:t>
      </w:r>
      <w:r w:rsidR="00502F83">
        <w:t xml:space="preserve"> </w:t>
      </w:r>
      <w:r w:rsidR="005B77DF">
        <w:t>possibilita</w:t>
      </w:r>
      <w:r w:rsidR="00502F83">
        <w:t>m</w:t>
      </w:r>
      <w:r w:rsidR="005B77DF">
        <w:t xml:space="preserve"> aos estudantes o desenvolvimento de pesquisa em Polos Internacionais, permitindo a valorização das vivências locais e o compartilhamento de experi</w:t>
      </w:r>
      <w:r w:rsidR="006810CE">
        <w:t>ê</w:t>
      </w:r>
      <w:r w:rsidR="005B77DF">
        <w:t xml:space="preserve">ncias com os estudantes brasileiros nos </w:t>
      </w:r>
      <w:r w:rsidR="001A50FF">
        <w:t xml:space="preserve">mais </w:t>
      </w:r>
      <w:r w:rsidR="005B77DF">
        <w:t xml:space="preserve">diferentes contextos. </w:t>
      </w:r>
    </w:p>
    <w:p w14:paraId="2FDC7796" w14:textId="438FB202" w:rsidR="005B77DF" w:rsidRDefault="005B77DF" w:rsidP="005B77DF">
      <w:pPr>
        <w:ind w:left="0"/>
      </w:pPr>
      <w:r>
        <w:t xml:space="preserve">Neste entendimento, a proposta pedagógica da IES, com seu foco na experiência e vivência dos estudantes, revela-se inovadora </w:t>
      </w:r>
      <w:r w:rsidR="00CE2610">
        <w:t>e eficaz</w:t>
      </w:r>
      <w:r w:rsidR="000B6170">
        <w:t xml:space="preserve">, </w:t>
      </w:r>
      <w:r w:rsidR="00026FC3">
        <w:t>pois privilegia</w:t>
      </w:r>
      <w:r>
        <w:t xml:space="preserve"> atividades estruturadas e orientadas </w:t>
      </w:r>
      <w:r w:rsidR="00026FC3">
        <w:t xml:space="preserve">para </w:t>
      </w:r>
      <w:r>
        <w:t>enfrentar os desafios de um mundo em constante transformação</w:t>
      </w:r>
      <w:r w:rsidR="00A853AA">
        <w:t>, mas não homogêneo</w:t>
      </w:r>
      <w:r>
        <w:t>.</w:t>
      </w:r>
      <w:r w:rsidR="00A853AA">
        <w:t xml:space="preserve"> As especifi</w:t>
      </w:r>
      <w:r w:rsidR="00C80D4B">
        <w:t>cidades locais, especialmente em polos internacionais, exigem respostas próprias e personalizadas para os problemas que vivenciam.</w:t>
      </w:r>
      <w:r>
        <w:t xml:space="preserve"> </w:t>
      </w:r>
    </w:p>
    <w:p w14:paraId="54C353EA" w14:textId="060400E9" w:rsidR="005B77DF" w:rsidRDefault="005B77DF" w:rsidP="005B77DF">
      <w:pPr>
        <w:ind w:left="0"/>
      </w:pPr>
      <w:r>
        <w:t>Assim, o designer construído para orientação e acompanhamento do TCC</w:t>
      </w:r>
      <w:r w:rsidR="00C6108B">
        <w:t>,</w:t>
      </w:r>
      <w:r>
        <w:t xml:space="preserve"> firmado nos pilares de engajamento e responsividade</w:t>
      </w:r>
      <w:r w:rsidR="00C6108B">
        <w:t>,</w:t>
      </w:r>
      <w:r>
        <w:t xml:space="preserve"> colaboram para a produção de experiências de pesquisas que identificam os problemas e necessidades locais em articulação com o contexto macro permitindo identificar e agir com assertividade.  </w:t>
      </w:r>
    </w:p>
    <w:p w14:paraId="39412CEC" w14:textId="1478BF15" w:rsidR="00B579A1" w:rsidRDefault="005B77DF" w:rsidP="005B77DF">
      <w:pPr>
        <w:ind w:left="0"/>
      </w:pPr>
      <w:r>
        <w:t xml:space="preserve">Daí conclui- se que, o engajamento se traduz no olhar do pesquisador ao se comprometer com as demandas de sua realidade numa relação de pertencimento que a partir de um diagnóstico local mais preciso, busca-se construir respostas factíveis e eficazes para solucionar os problemas elencados, fomentando a responsividade. </w:t>
      </w:r>
      <w:r w:rsidR="00C358B4">
        <w:t>Destarte</w:t>
      </w:r>
      <w:r>
        <w:t xml:space="preserve">, é fundamental que as instituições de ensino </w:t>
      </w:r>
      <w:r>
        <w:lastRenderedPageBreak/>
        <w:t>continuem a inovar e adaptar suas práticas pedagógicas, assegurando que seus egressos estejam preparados para lidar com a complexidade e a incerteza do século XXI.</w:t>
      </w:r>
      <w:bookmarkStart w:id="6" w:name="_heading=h.xayioccz9vi2"/>
      <w:bookmarkEnd w:id="6"/>
    </w:p>
    <w:p w14:paraId="0A1C38B5" w14:textId="77777777" w:rsidR="00B579A1" w:rsidRDefault="00B579A1" w:rsidP="005B77DF">
      <w:pPr>
        <w:ind w:left="0"/>
      </w:pPr>
    </w:p>
    <w:p w14:paraId="30612248" w14:textId="5D05AA6E" w:rsidR="00584823" w:rsidRDefault="00F92BD8" w:rsidP="005B77DF">
      <w:pPr>
        <w:ind w:left="1" w:hanging="3"/>
        <w:rPr>
          <w:b/>
          <w:color w:val="000000"/>
          <w:sz w:val="28"/>
          <w:szCs w:val="28"/>
        </w:rPr>
      </w:pPr>
      <w:r>
        <w:rPr>
          <w:b/>
          <w:color w:val="000000"/>
          <w:sz w:val="28"/>
          <w:szCs w:val="28"/>
        </w:rPr>
        <w:t>Referências</w:t>
      </w:r>
    </w:p>
    <w:p w14:paraId="1EF0E14C" w14:textId="77777777" w:rsidR="001C3005" w:rsidRDefault="001C3005" w:rsidP="005B77DF">
      <w:pPr>
        <w:ind w:left="1" w:hanging="3"/>
        <w:rPr>
          <w:b/>
          <w:color w:val="000000"/>
          <w:sz w:val="28"/>
          <w:szCs w:val="28"/>
        </w:rPr>
      </w:pPr>
    </w:p>
    <w:p w14:paraId="1D037BB7" w14:textId="77777777" w:rsidR="00CB71DB" w:rsidRDefault="00CB71DB" w:rsidP="00CB71DB">
      <w:pPr>
        <w:pStyle w:val="paragraph"/>
        <w:spacing w:before="0" w:beforeAutospacing="0" w:after="0" w:afterAutospacing="0"/>
        <w:jc w:val="both"/>
        <w:textAlignment w:val="baseline"/>
        <w:rPr>
          <w:rStyle w:val="eop"/>
          <w:rFonts w:ascii="Arial" w:hAnsi="Arial" w:cs="Arial"/>
          <w:color w:val="000000"/>
          <w:sz w:val="22"/>
          <w:szCs w:val="22"/>
        </w:rPr>
      </w:pPr>
      <w:r w:rsidRPr="00CB71DB">
        <w:rPr>
          <w:rStyle w:val="normaltextrun"/>
          <w:rFonts w:ascii="Arial" w:hAnsi="Arial" w:cs="Arial"/>
          <w:color w:val="000000"/>
          <w:sz w:val="22"/>
          <w:szCs w:val="22"/>
        </w:rPr>
        <w:t xml:space="preserve">ABED - Associação Brasileira de Educação a Distância. 29° CIAED Congresso Internacional ABED de Educação a Distância. </w:t>
      </w:r>
      <w:r w:rsidRPr="00CB71DB">
        <w:rPr>
          <w:rStyle w:val="normaltextrun"/>
          <w:rFonts w:ascii="Arial" w:hAnsi="Arial" w:cs="Arial"/>
          <w:b/>
          <w:bCs/>
          <w:color w:val="000000"/>
          <w:sz w:val="22"/>
          <w:szCs w:val="22"/>
        </w:rPr>
        <w:t>Página de Submissão de Trabalhos</w:t>
      </w:r>
      <w:r w:rsidRPr="00CB71DB">
        <w:rPr>
          <w:rStyle w:val="normaltextrun"/>
          <w:rFonts w:ascii="Arial" w:hAnsi="Arial" w:cs="Arial"/>
          <w:color w:val="000000"/>
          <w:sz w:val="22"/>
          <w:szCs w:val="22"/>
        </w:rPr>
        <w:t xml:space="preserve">. Disponível em: </w:t>
      </w:r>
      <w:hyperlink r:id="rId17" w:tgtFrame="_blank" w:history="1">
        <w:r w:rsidRPr="00CB71DB">
          <w:rPr>
            <w:rStyle w:val="normaltextrun"/>
            <w:rFonts w:ascii="Arial" w:hAnsi="Arial" w:cs="Arial"/>
            <w:color w:val="000000"/>
            <w:sz w:val="22"/>
            <w:szCs w:val="22"/>
            <w:u w:val="single"/>
          </w:rPr>
          <w:t>https://www.abed.org.br/artigos</w:t>
        </w:r>
      </w:hyperlink>
      <w:r w:rsidRPr="00CB71DB">
        <w:rPr>
          <w:rStyle w:val="normaltextrun"/>
          <w:rFonts w:ascii="Arial" w:hAnsi="Arial" w:cs="Arial"/>
          <w:color w:val="000000"/>
          <w:sz w:val="22"/>
          <w:szCs w:val="22"/>
        </w:rPr>
        <w:t xml:space="preserve">. </w:t>
      </w:r>
      <w:proofErr w:type="spellStart"/>
      <w:r w:rsidRPr="00CB71DB">
        <w:rPr>
          <w:rStyle w:val="normaltextrun"/>
          <w:rFonts w:ascii="Arial" w:hAnsi="Arial" w:cs="Arial"/>
          <w:color w:val="000000"/>
          <w:sz w:val="22"/>
          <w:szCs w:val="22"/>
          <w:lang w:val="en-US"/>
        </w:rPr>
        <w:t>Acesso</w:t>
      </w:r>
      <w:proofErr w:type="spellEnd"/>
      <w:r w:rsidRPr="00CB71DB">
        <w:rPr>
          <w:rStyle w:val="normaltextrun"/>
          <w:rFonts w:ascii="Arial" w:hAnsi="Arial" w:cs="Arial"/>
          <w:color w:val="000000"/>
          <w:sz w:val="22"/>
          <w:szCs w:val="22"/>
          <w:lang w:val="en-US"/>
        </w:rPr>
        <w:t xml:space="preserve"> </w:t>
      </w:r>
      <w:proofErr w:type="spellStart"/>
      <w:r w:rsidRPr="00CB71DB">
        <w:rPr>
          <w:rStyle w:val="normaltextrun"/>
          <w:rFonts w:ascii="Arial" w:hAnsi="Arial" w:cs="Arial"/>
          <w:color w:val="000000"/>
          <w:sz w:val="22"/>
          <w:szCs w:val="22"/>
          <w:lang w:val="en-US"/>
        </w:rPr>
        <w:t>em</w:t>
      </w:r>
      <w:proofErr w:type="spellEnd"/>
      <w:r w:rsidRPr="00CB71DB">
        <w:rPr>
          <w:rStyle w:val="normaltextrun"/>
          <w:rFonts w:ascii="Arial" w:hAnsi="Arial" w:cs="Arial"/>
          <w:color w:val="000000"/>
          <w:sz w:val="22"/>
          <w:szCs w:val="22"/>
          <w:lang w:val="en-US"/>
        </w:rPr>
        <w:t xml:space="preserve">: 10 </w:t>
      </w:r>
      <w:proofErr w:type="spellStart"/>
      <w:r w:rsidRPr="00CB71DB">
        <w:rPr>
          <w:rStyle w:val="normaltextrun"/>
          <w:rFonts w:ascii="Arial" w:hAnsi="Arial" w:cs="Arial"/>
          <w:color w:val="000000"/>
          <w:sz w:val="22"/>
          <w:szCs w:val="22"/>
          <w:lang w:val="en-US"/>
        </w:rPr>
        <w:t>nov.</w:t>
      </w:r>
      <w:proofErr w:type="spellEnd"/>
      <w:r w:rsidRPr="00CB71DB">
        <w:rPr>
          <w:rStyle w:val="normaltextrun"/>
          <w:rFonts w:ascii="Arial" w:hAnsi="Arial" w:cs="Arial"/>
          <w:color w:val="000000"/>
          <w:sz w:val="22"/>
          <w:szCs w:val="22"/>
          <w:lang w:val="en-US"/>
        </w:rPr>
        <w:t xml:space="preserve"> 2024.</w:t>
      </w:r>
      <w:r w:rsidRPr="00CB71DB">
        <w:rPr>
          <w:rStyle w:val="eop"/>
          <w:rFonts w:ascii="Arial" w:hAnsi="Arial" w:cs="Arial"/>
          <w:color w:val="000000"/>
          <w:sz w:val="22"/>
          <w:szCs w:val="22"/>
        </w:rPr>
        <w:t> </w:t>
      </w:r>
    </w:p>
    <w:p w14:paraId="6EA7B98C" w14:textId="77777777" w:rsidR="00CB71DB" w:rsidRPr="00CB71DB" w:rsidRDefault="00CB71DB" w:rsidP="00CB71DB">
      <w:pPr>
        <w:pStyle w:val="paragraph"/>
        <w:spacing w:before="0" w:beforeAutospacing="0" w:after="0" w:afterAutospacing="0"/>
        <w:jc w:val="both"/>
        <w:textAlignment w:val="baseline"/>
        <w:rPr>
          <w:rFonts w:ascii="Arial" w:hAnsi="Arial" w:cs="Arial"/>
          <w:sz w:val="22"/>
          <w:szCs w:val="22"/>
        </w:rPr>
      </w:pPr>
    </w:p>
    <w:p w14:paraId="29ADD4CD" w14:textId="27427DAB" w:rsidR="00CB71DB" w:rsidRPr="00E005E0" w:rsidRDefault="00CB71DB" w:rsidP="00CB71DB">
      <w:pPr>
        <w:pStyle w:val="paragraph"/>
        <w:spacing w:before="0" w:beforeAutospacing="0" w:after="0" w:afterAutospacing="0"/>
        <w:jc w:val="both"/>
        <w:textAlignment w:val="baseline"/>
        <w:rPr>
          <w:rStyle w:val="eop"/>
          <w:rFonts w:ascii="Arial" w:hAnsi="Arial" w:cs="Arial"/>
          <w:sz w:val="22"/>
          <w:szCs w:val="22"/>
        </w:rPr>
      </w:pPr>
      <w:r w:rsidRPr="00CB71DB">
        <w:rPr>
          <w:rStyle w:val="normaltextrun"/>
          <w:rFonts w:ascii="Arial" w:hAnsi="Arial" w:cs="Arial"/>
          <w:sz w:val="22"/>
          <w:szCs w:val="22"/>
        </w:rPr>
        <w:t xml:space="preserve">ARAÚJO, Claudia Helena dos Santos. </w:t>
      </w:r>
      <w:r w:rsidRPr="00CB71DB">
        <w:rPr>
          <w:rStyle w:val="normaltextrun"/>
          <w:rFonts w:ascii="Arial" w:hAnsi="Arial" w:cs="Arial"/>
          <w:b/>
          <w:bCs/>
          <w:sz w:val="22"/>
          <w:szCs w:val="22"/>
        </w:rPr>
        <w:t>Elementos constitutivos do trabalho pedagógico na docência online</w:t>
      </w:r>
      <w:r w:rsidRPr="00CB71DB">
        <w:rPr>
          <w:rStyle w:val="normaltextrun"/>
          <w:rFonts w:ascii="Arial" w:hAnsi="Arial" w:cs="Arial"/>
          <w:sz w:val="22"/>
          <w:szCs w:val="22"/>
        </w:rPr>
        <w:t xml:space="preserve">. 168 F. Tese (Doutorado em Educação) – Pontifícia Universidade Católica de </w:t>
      </w:r>
      <w:proofErr w:type="spellStart"/>
      <w:r w:rsidRPr="00CB71DB">
        <w:rPr>
          <w:rStyle w:val="normaltextrun"/>
          <w:rFonts w:ascii="Arial" w:hAnsi="Arial" w:cs="Arial"/>
          <w:sz w:val="22"/>
          <w:szCs w:val="22"/>
        </w:rPr>
        <w:t>Goiás</w:t>
      </w:r>
      <w:proofErr w:type="spellEnd"/>
      <w:r w:rsidRPr="00CB71DB">
        <w:rPr>
          <w:rStyle w:val="normaltextrun"/>
          <w:rFonts w:ascii="Arial" w:hAnsi="Arial" w:cs="Arial"/>
          <w:sz w:val="22"/>
          <w:szCs w:val="22"/>
        </w:rPr>
        <w:t xml:space="preserve">, </w:t>
      </w:r>
      <w:proofErr w:type="spellStart"/>
      <w:r w:rsidRPr="00CB71DB">
        <w:rPr>
          <w:rStyle w:val="normaltextrun"/>
          <w:rFonts w:ascii="Arial" w:hAnsi="Arial" w:cs="Arial"/>
          <w:sz w:val="22"/>
          <w:szCs w:val="22"/>
        </w:rPr>
        <w:t>Goiânia</w:t>
      </w:r>
      <w:proofErr w:type="spellEnd"/>
      <w:r w:rsidRPr="00CB71DB">
        <w:rPr>
          <w:rStyle w:val="normaltextrun"/>
          <w:rFonts w:ascii="Arial" w:hAnsi="Arial" w:cs="Arial"/>
          <w:sz w:val="22"/>
          <w:szCs w:val="22"/>
        </w:rPr>
        <w:t xml:space="preserve">, 2014. Disponível em: </w:t>
      </w:r>
      <w:hyperlink r:id="rId18" w:history="1">
        <w:r w:rsidR="00E005E0" w:rsidRPr="00E005E0">
          <w:rPr>
            <w:rStyle w:val="Hyperlink"/>
            <w:rFonts w:ascii="Arial" w:hAnsi="Arial" w:cs="Arial"/>
            <w:color w:val="auto"/>
            <w:position w:val="0"/>
            <w:sz w:val="22"/>
            <w:szCs w:val="22"/>
          </w:rPr>
          <w:t>http://tede2.pucgoias.edu.br:8080/bitstream/tede/712/1/CLAUDIA%20 HELENA%20DOS%20SANTOS%20ARAUJO. pdf</w:t>
        </w:r>
      </w:hyperlink>
      <w:r w:rsidRPr="00E005E0">
        <w:rPr>
          <w:rStyle w:val="normaltextrun"/>
          <w:rFonts w:ascii="Arial" w:hAnsi="Arial" w:cs="Arial"/>
          <w:sz w:val="22"/>
          <w:szCs w:val="22"/>
        </w:rPr>
        <w:t xml:space="preserve"> Acesso: 10/11/2024.</w:t>
      </w:r>
      <w:r w:rsidRPr="00E005E0">
        <w:rPr>
          <w:rStyle w:val="eop"/>
          <w:rFonts w:ascii="Arial" w:hAnsi="Arial" w:cs="Arial"/>
          <w:sz w:val="22"/>
          <w:szCs w:val="22"/>
        </w:rPr>
        <w:t> </w:t>
      </w:r>
    </w:p>
    <w:p w14:paraId="3B3CC699" w14:textId="77777777" w:rsidR="00CB71DB" w:rsidRPr="00CB71DB" w:rsidRDefault="00CB71DB" w:rsidP="00CB71DB">
      <w:pPr>
        <w:pStyle w:val="paragraph"/>
        <w:spacing w:before="0" w:beforeAutospacing="0" w:after="0" w:afterAutospacing="0"/>
        <w:jc w:val="both"/>
        <w:textAlignment w:val="baseline"/>
        <w:rPr>
          <w:rFonts w:ascii="Arial" w:hAnsi="Arial" w:cs="Arial"/>
          <w:sz w:val="22"/>
          <w:szCs w:val="22"/>
        </w:rPr>
      </w:pPr>
    </w:p>
    <w:p w14:paraId="2C562FB6" w14:textId="77777777" w:rsidR="00CB71DB" w:rsidRDefault="00CB71DB" w:rsidP="00CB71DB">
      <w:pPr>
        <w:pStyle w:val="paragraph"/>
        <w:shd w:val="clear" w:color="auto" w:fill="FFFFFF"/>
        <w:spacing w:before="0" w:beforeAutospacing="0" w:after="0" w:afterAutospacing="0"/>
        <w:jc w:val="both"/>
        <w:textAlignment w:val="baseline"/>
        <w:rPr>
          <w:rStyle w:val="eop"/>
          <w:rFonts w:ascii="Arial" w:hAnsi="Arial" w:cs="Arial"/>
          <w:sz w:val="22"/>
          <w:szCs w:val="22"/>
        </w:rPr>
      </w:pPr>
      <w:r w:rsidRPr="00CB71DB">
        <w:rPr>
          <w:rStyle w:val="normaltextrun"/>
          <w:rFonts w:ascii="Arial" w:hAnsi="Arial" w:cs="Arial"/>
          <w:sz w:val="22"/>
          <w:szCs w:val="22"/>
        </w:rPr>
        <w:t xml:space="preserve">DIAS SOBRINHO, J. e RISTOFF, D. (org) </w:t>
      </w:r>
      <w:r w:rsidRPr="00CB71DB">
        <w:rPr>
          <w:rStyle w:val="normaltextrun"/>
          <w:rFonts w:ascii="Arial" w:hAnsi="Arial" w:cs="Arial"/>
          <w:b/>
          <w:bCs/>
          <w:sz w:val="22"/>
          <w:szCs w:val="22"/>
        </w:rPr>
        <w:t xml:space="preserve">Universidade Desconstruída. </w:t>
      </w:r>
      <w:r w:rsidRPr="00CB71DB">
        <w:rPr>
          <w:rStyle w:val="normaltextrun"/>
          <w:rFonts w:ascii="Arial" w:hAnsi="Arial" w:cs="Arial"/>
          <w:sz w:val="22"/>
          <w:szCs w:val="22"/>
        </w:rPr>
        <w:t>Florianópolis: Insular, 2000.</w:t>
      </w:r>
      <w:r w:rsidRPr="00CB71DB">
        <w:rPr>
          <w:rStyle w:val="eop"/>
          <w:rFonts w:ascii="Arial" w:hAnsi="Arial" w:cs="Arial"/>
          <w:sz w:val="22"/>
          <w:szCs w:val="22"/>
        </w:rPr>
        <w:t> </w:t>
      </w:r>
    </w:p>
    <w:p w14:paraId="7D8451A3" w14:textId="77777777" w:rsidR="00CB71DB" w:rsidRPr="00CB71DB" w:rsidRDefault="00CB71DB" w:rsidP="00CB71DB">
      <w:pPr>
        <w:pStyle w:val="paragraph"/>
        <w:shd w:val="clear" w:color="auto" w:fill="FFFFFF"/>
        <w:spacing w:before="0" w:beforeAutospacing="0" w:after="0" w:afterAutospacing="0"/>
        <w:jc w:val="both"/>
        <w:textAlignment w:val="baseline"/>
        <w:rPr>
          <w:rFonts w:ascii="Arial" w:hAnsi="Arial" w:cs="Arial"/>
          <w:sz w:val="22"/>
          <w:szCs w:val="22"/>
        </w:rPr>
      </w:pPr>
    </w:p>
    <w:p w14:paraId="01711E35" w14:textId="77777777" w:rsidR="00CB71DB" w:rsidRDefault="00CB71DB" w:rsidP="00CB71DB">
      <w:pPr>
        <w:pStyle w:val="paragraph"/>
        <w:shd w:val="clear" w:color="auto" w:fill="FFFFFF"/>
        <w:spacing w:before="0" w:beforeAutospacing="0" w:after="0" w:afterAutospacing="0"/>
        <w:jc w:val="both"/>
        <w:textAlignment w:val="baseline"/>
        <w:rPr>
          <w:rStyle w:val="eop"/>
          <w:rFonts w:ascii="Arial" w:hAnsi="Arial" w:cs="Arial"/>
          <w:sz w:val="22"/>
          <w:szCs w:val="22"/>
        </w:rPr>
      </w:pPr>
      <w:r w:rsidRPr="00CB71DB">
        <w:rPr>
          <w:rStyle w:val="normaltextrun"/>
          <w:rFonts w:ascii="Arial" w:hAnsi="Arial" w:cs="Arial"/>
          <w:sz w:val="22"/>
          <w:szCs w:val="22"/>
          <w:lang w:val="en-US"/>
        </w:rPr>
        <w:t xml:space="preserve">FLORIDI, Luciano. </w:t>
      </w:r>
      <w:r w:rsidRPr="00CB71DB">
        <w:rPr>
          <w:rStyle w:val="normaltextrun"/>
          <w:rFonts w:ascii="Arial" w:hAnsi="Arial" w:cs="Arial"/>
          <w:b/>
          <w:bCs/>
          <w:sz w:val="22"/>
          <w:szCs w:val="22"/>
          <w:lang w:val="en-US"/>
        </w:rPr>
        <w:t xml:space="preserve">Information. </w:t>
      </w:r>
      <w:r w:rsidRPr="00CB71DB">
        <w:rPr>
          <w:rStyle w:val="normaltextrun"/>
          <w:rFonts w:ascii="Arial" w:hAnsi="Arial" w:cs="Arial"/>
          <w:sz w:val="22"/>
          <w:szCs w:val="22"/>
          <w:lang w:val="en-US"/>
        </w:rPr>
        <w:t>New York: Oxford University Press, 2010.</w:t>
      </w:r>
      <w:r w:rsidRPr="00CB71DB">
        <w:rPr>
          <w:rStyle w:val="eop"/>
          <w:rFonts w:ascii="Arial" w:hAnsi="Arial" w:cs="Arial"/>
          <w:sz w:val="22"/>
          <w:szCs w:val="22"/>
        </w:rPr>
        <w:t> </w:t>
      </w:r>
    </w:p>
    <w:p w14:paraId="3129B17B" w14:textId="77777777" w:rsidR="00CB71DB" w:rsidRPr="00CB71DB" w:rsidRDefault="00CB71DB" w:rsidP="00CB71DB">
      <w:pPr>
        <w:pStyle w:val="paragraph"/>
        <w:shd w:val="clear" w:color="auto" w:fill="FFFFFF"/>
        <w:spacing w:before="0" w:beforeAutospacing="0" w:after="0" w:afterAutospacing="0"/>
        <w:jc w:val="both"/>
        <w:textAlignment w:val="baseline"/>
        <w:rPr>
          <w:rFonts w:ascii="Arial" w:hAnsi="Arial" w:cs="Arial"/>
          <w:sz w:val="22"/>
          <w:szCs w:val="22"/>
        </w:rPr>
      </w:pPr>
    </w:p>
    <w:p w14:paraId="6BA0767F" w14:textId="77777777" w:rsidR="00CB71DB" w:rsidRDefault="00CB71DB" w:rsidP="00CB71DB">
      <w:pPr>
        <w:pStyle w:val="paragraph"/>
        <w:shd w:val="clear" w:color="auto" w:fill="FFFFFF"/>
        <w:spacing w:before="0" w:beforeAutospacing="0" w:after="0" w:afterAutospacing="0"/>
        <w:jc w:val="both"/>
        <w:textAlignment w:val="baseline"/>
        <w:rPr>
          <w:rStyle w:val="eop"/>
          <w:rFonts w:ascii="Arial" w:hAnsi="Arial" w:cs="Arial"/>
          <w:sz w:val="22"/>
          <w:szCs w:val="22"/>
        </w:rPr>
      </w:pPr>
      <w:r w:rsidRPr="00CB71DB">
        <w:rPr>
          <w:rStyle w:val="normaltextrun"/>
          <w:rFonts w:ascii="Arial" w:hAnsi="Arial" w:cs="Arial"/>
          <w:sz w:val="22"/>
          <w:szCs w:val="22"/>
          <w:lang w:val="en-US"/>
        </w:rPr>
        <w:t xml:space="preserve">FLORIDI, Luciano. </w:t>
      </w:r>
      <w:r w:rsidRPr="00CB71DB">
        <w:rPr>
          <w:rStyle w:val="normaltextrun"/>
          <w:rFonts w:ascii="Arial" w:hAnsi="Arial" w:cs="Arial"/>
          <w:b/>
          <w:bCs/>
          <w:sz w:val="22"/>
          <w:szCs w:val="22"/>
          <w:lang w:val="en-US"/>
        </w:rPr>
        <w:t>The Fourth Revolution</w:t>
      </w:r>
      <w:r w:rsidRPr="00CB71DB">
        <w:rPr>
          <w:rStyle w:val="normaltextrun"/>
          <w:rFonts w:ascii="Arial" w:hAnsi="Arial" w:cs="Arial"/>
          <w:sz w:val="22"/>
          <w:szCs w:val="22"/>
          <w:lang w:val="en-US"/>
        </w:rPr>
        <w:t>: how the infosphere is reshaping human reality. New York: Oxford University Press, 2014.</w:t>
      </w:r>
      <w:r w:rsidRPr="00CB71DB">
        <w:rPr>
          <w:rStyle w:val="eop"/>
          <w:rFonts w:ascii="Arial" w:hAnsi="Arial" w:cs="Arial"/>
          <w:sz w:val="22"/>
          <w:szCs w:val="22"/>
        </w:rPr>
        <w:t> </w:t>
      </w:r>
    </w:p>
    <w:p w14:paraId="06B753F9" w14:textId="77777777" w:rsidR="00CB71DB" w:rsidRPr="00CB71DB" w:rsidRDefault="00CB71DB" w:rsidP="00CB71DB">
      <w:pPr>
        <w:pStyle w:val="paragraph"/>
        <w:shd w:val="clear" w:color="auto" w:fill="FFFFFF"/>
        <w:spacing w:before="0" w:beforeAutospacing="0" w:after="0" w:afterAutospacing="0"/>
        <w:jc w:val="both"/>
        <w:textAlignment w:val="baseline"/>
        <w:rPr>
          <w:rFonts w:ascii="Arial" w:hAnsi="Arial" w:cs="Arial"/>
          <w:sz w:val="22"/>
          <w:szCs w:val="22"/>
        </w:rPr>
      </w:pPr>
    </w:p>
    <w:p w14:paraId="05EEDC87" w14:textId="77777777" w:rsidR="00CB71DB" w:rsidRDefault="00CB71DB" w:rsidP="00CB71DB">
      <w:pPr>
        <w:pStyle w:val="paragraph"/>
        <w:shd w:val="clear" w:color="auto" w:fill="FFFFFF"/>
        <w:spacing w:before="0" w:beforeAutospacing="0" w:after="0" w:afterAutospacing="0"/>
        <w:jc w:val="both"/>
        <w:textAlignment w:val="baseline"/>
        <w:rPr>
          <w:rStyle w:val="eop"/>
          <w:rFonts w:ascii="Arial" w:hAnsi="Arial" w:cs="Arial"/>
          <w:sz w:val="22"/>
          <w:szCs w:val="22"/>
        </w:rPr>
      </w:pPr>
      <w:r w:rsidRPr="00CB71DB">
        <w:rPr>
          <w:rStyle w:val="normaltextrun"/>
          <w:rFonts w:ascii="Arial" w:hAnsi="Arial" w:cs="Arial"/>
          <w:sz w:val="22"/>
          <w:szCs w:val="22"/>
        </w:rPr>
        <w:t xml:space="preserve">GAIO, </w:t>
      </w:r>
      <w:proofErr w:type="spellStart"/>
      <w:r w:rsidRPr="00CB71DB">
        <w:rPr>
          <w:rStyle w:val="normaltextrun"/>
          <w:rFonts w:ascii="Arial" w:hAnsi="Arial" w:cs="Arial"/>
          <w:sz w:val="22"/>
          <w:szCs w:val="22"/>
        </w:rPr>
        <w:t>Benhur</w:t>
      </w:r>
      <w:proofErr w:type="spellEnd"/>
      <w:r w:rsidRPr="00CB71DB">
        <w:rPr>
          <w:rStyle w:val="normaltextrun"/>
          <w:rFonts w:ascii="Arial" w:hAnsi="Arial" w:cs="Arial"/>
          <w:sz w:val="22"/>
          <w:szCs w:val="22"/>
        </w:rPr>
        <w:t xml:space="preserve"> </w:t>
      </w:r>
      <w:proofErr w:type="spellStart"/>
      <w:r w:rsidRPr="00CB71DB">
        <w:rPr>
          <w:rStyle w:val="normaltextrun"/>
          <w:rFonts w:ascii="Arial" w:hAnsi="Arial" w:cs="Arial"/>
          <w:sz w:val="22"/>
          <w:szCs w:val="22"/>
        </w:rPr>
        <w:t>Etelberto</w:t>
      </w:r>
      <w:proofErr w:type="spellEnd"/>
      <w:r w:rsidRPr="00CB71DB">
        <w:rPr>
          <w:rStyle w:val="normaltextrun"/>
          <w:rFonts w:ascii="Arial" w:hAnsi="Arial" w:cs="Arial"/>
          <w:sz w:val="22"/>
          <w:szCs w:val="22"/>
        </w:rPr>
        <w:t xml:space="preserve">; MACHADO, </w:t>
      </w:r>
      <w:proofErr w:type="spellStart"/>
      <w:r w:rsidRPr="00CB71DB">
        <w:rPr>
          <w:rStyle w:val="normaltextrun"/>
          <w:rFonts w:ascii="Arial" w:hAnsi="Arial" w:cs="Arial"/>
          <w:sz w:val="22"/>
          <w:szCs w:val="22"/>
        </w:rPr>
        <w:t>Dinamara</w:t>
      </w:r>
      <w:proofErr w:type="spellEnd"/>
      <w:r w:rsidRPr="00CB71DB">
        <w:rPr>
          <w:rStyle w:val="normaltextrun"/>
          <w:rFonts w:ascii="Arial" w:hAnsi="Arial" w:cs="Arial"/>
          <w:sz w:val="22"/>
          <w:szCs w:val="22"/>
        </w:rPr>
        <w:t xml:space="preserve"> Pereira (orgs). </w:t>
      </w:r>
      <w:r w:rsidRPr="00CB71DB">
        <w:rPr>
          <w:rStyle w:val="normaltextrun"/>
          <w:rFonts w:ascii="Arial" w:hAnsi="Arial" w:cs="Arial"/>
          <w:b/>
          <w:bCs/>
          <w:sz w:val="22"/>
          <w:szCs w:val="22"/>
        </w:rPr>
        <w:t>Gestão no ensino superior</w:t>
      </w:r>
      <w:r w:rsidRPr="00CB71DB">
        <w:rPr>
          <w:rStyle w:val="normaltextrun"/>
          <w:rFonts w:ascii="Arial" w:hAnsi="Arial" w:cs="Arial"/>
          <w:sz w:val="22"/>
          <w:szCs w:val="22"/>
        </w:rPr>
        <w:t>: Os caminhos da inovação, do empreendedorismo e da resiliência. Curitiba: Editora Dialética e Realidade, 2021.</w:t>
      </w:r>
      <w:r w:rsidRPr="00CB71DB">
        <w:rPr>
          <w:rStyle w:val="eop"/>
          <w:rFonts w:ascii="Arial" w:hAnsi="Arial" w:cs="Arial"/>
          <w:sz w:val="22"/>
          <w:szCs w:val="22"/>
        </w:rPr>
        <w:t> </w:t>
      </w:r>
    </w:p>
    <w:p w14:paraId="744CC143" w14:textId="77777777" w:rsidR="00CB71DB" w:rsidRPr="00CB71DB" w:rsidRDefault="00CB71DB" w:rsidP="00CB71DB">
      <w:pPr>
        <w:pStyle w:val="paragraph"/>
        <w:shd w:val="clear" w:color="auto" w:fill="FFFFFF"/>
        <w:spacing w:before="0" w:beforeAutospacing="0" w:after="0" w:afterAutospacing="0"/>
        <w:jc w:val="both"/>
        <w:textAlignment w:val="baseline"/>
        <w:rPr>
          <w:rFonts w:ascii="Arial" w:hAnsi="Arial" w:cs="Arial"/>
          <w:sz w:val="22"/>
          <w:szCs w:val="22"/>
        </w:rPr>
      </w:pPr>
    </w:p>
    <w:p w14:paraId="378EE5C2" w14:textId="77777777" w:rsidR="00CB71DB" w:rsidRDefault="00CB71DB" w:rsidP="00CB71DB">
      <w:pPr>
        <w:pStyle w:val="paragraph"/>
        <w:shd w:val="clear" w:color="auto" w:fill="FFFFFF"/>
        <w:spacing w:before="0" w:beforeAutospacing="0" w:after="0" w:afterAutospacing="0"/>
        <w:jc w:val="both"/>
        <w:textAlignment w:val="baseline"/>
        <w:rPr>
          <w:rStyle w:val="eop"/>
          <w:rFonts w:ascii="Arial" w:hAnsi="Arial" w:cs="Arial"/>
          <w:sz w:val="22"/>
          <w:szCs w:val="22"/>
        </w:rPr>
      </w:pPr>
      <w:r w:rsidRPr="00CB71DB">
        <w:rPr>
          <w:rStyle w:val="normaltextrun"/>
          <w:rFonts w:ascii="Arial" w:hAnsi="Arial" w:cs="Arial"/>
          <w:sz w:val="22"/>
          <w:szCs w:val="22"/>
          <w:lang w:val="es-ES"/>
        </w:rPr>
        <w:t xml:space="preserve">LARROSA, J.; SKLIAR, C. (org.) </w:t>
      </w:r>
      <w:r w:rsidRPr="00CB71DB">
        <w:rPr>
          <w:rStyle w:val="normaltextrun"/>
          <w:rFonts w:ascii="Arial" w:hAnsi="Arial" w:cs="Arial"/>
          <w:b/>
          <w:bCs/>
          <w:sz w:val="22"/>
          <w:szCs w:val="22"/>
          <w:lang w:val="es-ES"/>
        </w:rPr>
        <w:t xml:space="preserve">Experiencia y alteridad en educación. </w:t>
      </w:r>
      <w:r w:rsidRPr="00CB71DB">
        <w:rPr>
          <w:rStyle w:val="normaltextrun"/>
          <w:rFonts w:ascii="Arial" w:hAnsi="Arial" w:cs="Arial"/>
          <w:sz w:val="22"/>
          <w:szCs w:val="22"/>
          <w:lang w:val="es-ES"/>
        </w:rPr>
        <w:t xml:space="preserve">Argentina, </w:t>
      </w:r>
      <w:proofErr w:type="spellStart"/>
      <w:r w:rsidRPr="00CB71DB">
        <w:rPr>
          <w:rStyle w:val="normaltextrun"/>
          <w:rFonts w:ascii="Arial" w:hAnsi="Arial" w:cs="Arial"/>
          <w:sz w:val="22"/>
          <w:szCs w:val="22"/>
          <w:lang w:val="es-ES"/>
        </w:rPr>
        <w:t>Rosário</w:t>
      </w:r>
      <w:proofErr w:type="spellEnd"/>
      <w:r w:rsidRPr="00CB71DB">
        <w:rPr>
          <w:rStyle w:val="normaltextrun"/>
          <w:rFonts w:ascii="Arial" w:hAnsi="Arial" w:cs="Arial"/>
          <w:sz w:val="22"/>
          <w:szCs w:val="22"/>
          <w:lang w:val="es-ES"/>
        </w:rPr>
        <w:t>: Homo Sapiens, 2009.</w:t>
      </w:r>
      <w:r w:rsidRPr="00CB71DB">
        <w:rPr>
          <w:rStyle w:val="eop"/>
          <w:rFonts w:ascii="Arial" w:hAnsi="Arial" w:cs="Arial"/>
          <w:sz w:val="22"/>
          <w:szCs w:val="22"/>
        </w:rPr>
        <w:t> </w:t>
      </w:r>
    </w:p>
    <w:p w14:paraId="53BA9F7C" w14:textId="77777777" w:rsidR="00CB71DB" w:rsidRPr="00CB71DB" w:rsidRDefault="00CB71DB" w:rsidP="00CB71DB">
      <w:pPr>
        <w:pStyle w:val="paragraph"/>
        <w:shd w:val="clear" w:color="auto" w:fill="FFFFFF"/>
        <w:spacing w:before="0" w:beforeAutospacing="0" w:after="0" w:afterAutospacing="0"/>
        <w:jc w:val="both"/>
        <w:textAlignment w:val="baseline"/>
        <w:rPr>
          <w:rFonts w:ascii="Arial" w:hAnsi="Arial" w:cs="Arial"/>
          <w:sz w:val="22"/>
          <w:szCs w:val="22"/>
        </w:rPr>
      </w:pPr>
    </w:p>
    <w:p w14:paraId="00111E98" w14:textId="77777777" w:rsidR="00CB71DB" w:rsidRDefault="00CB71DB" w:rsidP="00CB71DB">
      <w:pPr>
        <w:pStyle w:val="paragraph"/>
        <w:shd w:val="clear" w:color="auto" w:fill="FFFFFF"/>
        <w:spacing w:before="0" w:beforeAutospacing="0" w:after="0" w:afterAutospacing="0"/>
        <w:jc w:val="both"/>
        <w:textAlignment w:val="baseline"/>
        <w:rPr>
          <w:rStyle w:val="eop"/>
          <w:rFonts w:ascii="Arial" w:hAnsi="Arial" w:cs="Arial"/>
          <w:sz w:val="22"/>
          <w:szCs w:val="22"/>
        </w:rPr>
      </w:pPr>
      <w:r w:rsidRPr="00CB71DB">
        <w:rPr>
          <w:rStyle w:val="normaltextrun"/>
          <w:rFonts w:ascii="Arial" w:hAnsi="Arial" w:cs="Arial"/>
          <w:sz w:val="22"/>
          <w:szCs w:val="22"/>
          <w:lang w:val="es-ES"/>
        </w:rPr>
        <w:t xml:space="preserve">LARROSA, J. </w:t>
      </w:r>
      <w:r w:rsidRPr="00CB71DB">
        <w:rPr>
          <w:rStyle w:val="normaltextrun"/>
          <w:rFonts w:ascii="Arial" w:hAnsi="Arial" w:cs="Arial"/>
          <w:b/>
          <w:bCs/>
          <w:sz w:val="22"/>
          <w:szCs w:val="22"/>
          <w:lang w:val="es-ES"/>
        </w:rPr>
        <w:t xml:space="preserve">Tremores: </w:t>
      </w:r>
      <w:r w:rsidRPr="00CB71DB">
        <w:rPr>
          <w:rStyle w:val="normaltextrun"/>
          <w:rFonts w:ascii="Arial" w:hAnsi="Arial" w:cs="Arial"/>
          <w:sz w:val="22"/>
          <w:szCs w:val="22"/>
          <w:lang w:val="es-ES"/>
        </w:rPr>
        <w:t xml:space="preserve">escritos sobre </w:t>
      </w:r>
      <w:proofErr w:type="spellStart"/>
      <w:r w:rsidRPr="00CB71DB">
        <w:rPr>
          <w:rStyle w:val="normaltextrun"/>
          <w:rFonts w:ascii="Arial" w:hAnsi="Arial" w:cs="Arial"/>
          <w:sz w:val="22"/>
          <w:szCs w:val="22"/>
          <w:lang w:val="es-ES"/>
        </w:rPr>
        <w:t>experiência</w:t>
      </w:r>
      <w:proofErr w:type="spellEnd"/>
      <w:r w:rsidRPr="00CB71DB">
        <w:rPr>
          <w:rStyle w:val="normaltextrun"/>
          <w:rFonts w:ascii="Arial" w:hAnsi="Arial" w:cs="Arial"/>
          <w:sz w:val="22"/>
          <w:szCs w:val="22"/>
          <w:lang w:val="es-ES"/>
        </w:rPr>
        <w:t>. Belo Horizonte: Autêntica, 2015.</w:t>
      </w:r>
      <w:r w:rsidRPr="00CB71DB">
        <w:rPr>
          <w:rStyle w:val="eop"/>
          <w:rFonts w:ascii="Arial" w:hAnsi="Arial" w:cs="Arial"/>
          <w:sz w:val="22"/>
          <w:szCs w:val="22"/>
        </w:rPr>
        <w:t> </w:t>
      </w:r>
    </w:p>
    <w:p w14:paraId="49DF94B5" w14:textId="77777777" w:rsidR="00CB71DB" w:rsidRPr="00CB71DB" w:rsidRDefault="00CB71DB" w:rsidP="00CB71DB">
      <w:pPr>
        <w:pStyle w:val="paragraph"/>
        <w:shd w:val="clear" w:color="auto" w:fill="FFFFFF"/>
        <w:spacing w:before="0" w:beforeAutospacing="0" w:after="0" w:afterAutospacing="0"/>
        <w:jc w:val="both"/>
        <w:textAlignment w:val="baseline"/>
        <w:rPr>
          <w:rFonts w:ascii="Arial" w:hAnsi="Arial" w:cs="Arial"/>
          <w:sz w:val="22"/>
          <w:szCs w:val="22"/>
        </w:rPr>
      </w:pPr>
    </w:p>
    <w:p w14:paraId="4D05669D" w14:textId="0695FB47" w:rsidR="00CB71DB" w:rsidRPr="00E005E0" w:rsidRDefault="00CB71DB" w:rsidP="00CB71DB">
      <w:pPr>
        <w:pStyle w:val="paragraph"/>
        <w:spacing w:before="0" w:beforeAutospacing="0" w:after="0" w:afterAutospacing="0"/>
        <w:jc w:val="both"/>
        <w:textAlignment w:val="baseline"/>
        <w:rPr>
          <w:rStyle w:val="eop"/>
          <w:rFonts w:ascii="Arial" w:hAnsi="Arial" w:cs="Arial"/>
          <w:sz w:val="22"/>
          <w:szCs w:val="22"/>
        </w:rPr>
      </w:pPr>
      <w:r w:rsidRPr="00CB71DB">
        <w:rPr>
          <w:rStyle w:val="normaltextrun"/>
          <w:rFonts w:ascii="Arial" w:hAnsi="Arial" w:cs="Arial"/>
          <w:sz w:val="22"/>
          <w:szCs w:val="22"/>
        </w:rPr>
        <w:t xml:space="preserve">LIMA, D. C. B. P.; ALONSO, K. M. Entre </w:t>
      </w:r>
      <w:proofErr w:type="spellStart"/>
      <w:r w:rsidRPr="00CB71DB">
        <w:rPr>
          <w:rStyle w:val="normaltextrun"/>
          <w:rFonts w:ascii="Arial" w:hAnsi="Arial" w:cs="Arial"/>
          <w:sz w:val="22"/>
          <w:szCs w:val="22"/>
        </w:rPr>
        <w:t>conceitualizações</w:t>
      </w:r>
      <w:proofErr w:type="spellEnd"/>
      <w:r w:rsidRPr="00CB71DB">
        <w:rPr>
          <w:rStyle w:val="normaltextrun"/>
          <w:rFonts w:ascii="Arial" w:hAnsi="Arial" w:cs="Arial"/>
          <w:sz w:val="22"/>
          <w:szCs w:val="22"/>
        </w:rPr>
        <w:t xml:space="preserve"> e tendências: Qualidade e Inovação na EaD. In: LIMA, D. C. B. </w:t>
      </w:r>
      <w:r w:rsidR="00E005E0" w:rsidRPr="00CB71DB">
        <w:rPr>
          <w:rStyle w:val="normaltextrun"/>
          <w:rFonts w:ascii="Arial" w:hAnsi="Arial" w:cs="Arial"/>
          <w:sz w:val="22"/>
          <w:szCs w:val="22"/>
        </w:rPr>
        <w:t>P.;</w:t>
      </w:r>
      <w:r w:rsidRPr="00CB71DB">
        <w:rPr>
          <w:rStyle w:val="normaltextrun"/>
          <w:rFonts w:ascii="Arial" w:hAnsi="Arial" w:cs="Arial"/>
          <w:sz w:val="22"/>
          <w:szCs w:val="22"/>
        </w:rPr>
        <w:t xml:space="preserve"> SANTOS, C. de A. (orgs.). </w:t>
      </w:r>
      <w:proofErr w:type="spellStart"/>
      <w:r w:rsidRPr="00CB71DB">
        <w:rPr>
          <w:rStyle w:val="normaltextrun"/>
          <w:rFonts w:ascii="Arial" w:hAnsi="Arial" w:cs="Arial"/>
          <w:b/>
          <w:bCs/>
          <w:sz w:val="22"/>
          <w:szCs w:val="22"/>
        </w:rPr>
        <w:t>Educação</w:t>
      </w:r>
      <w:proofErr w:type="spellEnd"/>
      <w:r w:rsidRPr="00CB71DB">
        <w:rPr>
          <w:rStyle w:val="normaltextrun"/>
          <w:rFonts w:ascii="Arial" w:hAnsi="Arial" w:cs="Arial"/>
          <w:b/>
          <w:bCs/>
          <w:sz w:val="22"/>
          <w:szCs w:val="22"/>
        </w:rPr>
        <w:t xml:space="preserve"> a distância e tecnologias:</w:t>
      </w:r>
      <w:r w:rsidRPr="00CB71DB">
        <w:rPr>
          <w:rStyle w:val="normaltextrun"/>
          <w:rFonts w:ascii="Arial" w:hAnsi="Arial" w:cs="Arial"/>
          <w:sz w:val="22"/>
          <w:szCs w:val="22"/>
        </w:rPr>
        <w:t xml:space="preserve"> políticas públicas, qualidade e inovação. Volume 1 </w:t>
      </w:r>
      <w:r w:rsidR="00E005E0" w:rsidRPr="00CB71DB">
        <w:rPr>
          <w:rStyle w:val="normaltextrun"/>
          <w:rFonts w:ascii="Arial" w:hAnsi="Arial" w:cs="Arial"/>
          <w:sz w:val="22"/>
          <w:szCs w:val="22"/>
        </w:rPr>
        <w:t>- [</w:t>
      </w:r>
      <w:r w:rsidRPr="00CB71DB">
        <w:rPr>
          <w:rStyle w:val="normaltextrun"/>
          <w:rFonts w:ascii="Arial" w:hAnsi="Arial" w:cs="Arial"/>
          <w:sz w:val="22"/>
          <w:szCs w:val="22"/>
        </w:rPr>
        <w:t xml:space="preserve">Livro Eletrônico]. –Recife: ANPAE, 2021, p. 24-39. </w:t>
      </w:r>
      <w:proofErr w:type="spellStart"/>
      <w:r w:rsidRPr="00E005E0">
        <w:rPr>
          <w:rStyle w:val="normaltextrun"/>
          <w:rFonts w:ascii="Arial" w:hAnsi="Arial" w:cs="Arial"/>
          <w:sz w:val="22"/>
          <w:szCs w:val="22"/>
        </w:rPr>
        <w:t>Disponível</w:t>
      </w:r>
      <w:proofErr w:type="spellEnd"/>
      <w:r w:rsidRPr="00E005E0">
        <w:rPr>
          <w:rStyle w:val="normaltextrun"/>
          <w:rFonts w:ascii="Arial" w:hAnsi="Arial" w:cs="Arial"/>
          <w:sz w:val="22"/>
          <w:szCs w:val="22"/>
        </w:rPr>
        <w:t xml:space="preserve"> em: </w:t>
      </w:r>
      <w:hyperlink r:id="rId19" w:tgtFrame="_blank" w:history="1">
        <w:r w:rsidRPr="00E005E0">
          <w:rPr>
            <w:rStyle w:val="normaltextrun"/>
            <w:rFonts w:ascii="Arial" w:hAnsi="Arial" w:cs="Arial"/>
            <w:sz w:val="22"/>
            <w:szCs w:val="22"/>
          </w:rPr>
          <w:t xml:space="preserve">https://www.seminariosregionaisanpae.net.br/ </w:t>
        </w:r>
        <w:proofErr w:type="spellStart"/>
        <w:r w:rsidRPr="00E005E0">
          <w:rPr>
            <w:rStyle w:val="normaltextrun"/>
            <w:rFonts w:ascii="Arial" w:hAnsi="Arial" w:cs="Arial"/>
            <w:sz w:val="22"/>
            <w:szCs w:val="22"/>
          </w:rPr>
          <w:t>BibliotecaVirtual</w:t>
        </w:r>
        <w:proofErr w:type="spellEnd"/>
        <w:r w:rsidRPr="00E005E0">
          <w:rPr>
            <w:rStyle w:val="normaltextrun"/>
            <w:rFonts w:ascii="Arial" w:hAnsi="Arial" w:cs="Arial"/>
            <w:sz w:val="22"/>
            <w:szCs w:val="22"/>
          </w:rPr>
          <w:t>/10-Livros/</w:t>
        </w:r>
        <w:proofErr w:type="spellStart"/>
        <w:r w:rsidRPr="00E005E0">
          <w:rPr>
            <w:rStyle w:val="normaltextrun"/>
            <w:rFonts w:ascii="Arial" w:hAnsi="Arial" w:cs="Arial"/>
            <w:sz w:val="22"/>
            <w:szCs w:val="22"/>
          </w:rPr>
          <w:t>Educacao</w:t>
        </w:r>
        <w:proofErr w:type="spellEnd"/>
        <w:r w:rsidRPr="00E005E0">
          <w:rPr>
            <w:rStyle w:val="normaltextrun"/>
            <w:rFonts w:ascii="Arial" w:hAnsi="Arial" w:cs="Arial"/>
            <w:sz w:val="22"/>
            <w:szCs w:val="22"/>
          </w:rPr>
          <w:t>-a-distancia-e-tecno- logiasVOLUME1-050521.pdf</w:t>
        </w:r>
      </w:hyperlink>
      <w:r w:rsidRPr="00E005E0">
        <w:rPr>
          <w:rStyle w:val="normaltextrun"/>
          <w:rFonts w:ascii="Arial" w:hAnsi="Arial" w:cs="Arial"/>
          <w:sz w:val="22"/>
          <w:szCs w:val="22"/>
        </w:rPr>
        <w:t xml:space="preserve"> Acesso em: 10 nov. 2024.</w:t>
      </w:r>
      <w:r w:rsidRPr="00E005E0">
        <w:rPr>
          <w:rStyle w:val="eop"/>
          <w:rFonts w:ascii="Arial" w:hAnsi="Arial" w:cs="Arial"/>
          <w:sz w:val="22"/>
          <w:szCs w:val="22"/>
        </w:rPr>
        <w:t> </w:t>
      </w:r>
    </w:p>
    <w:p w14:paraId="420A337A" w14:textId="77777777" w:rsidR="00CB71DB" w:rsidRPr="00CB71DB" w:rsidRDefault="00CB71DB" w:rsidP="00CB71DB">
      <w:pPr>
        <w:pStyle w:val="paragraph"/>
        <w:spacing w:before="0" w:beforeAutospacing="0" w:after="0" w:afterAutospacing="0"/>
        <w:jc w:val="both"/>
        <w:textAlignment w:val="baseline"/>
        <w:rPr>
          <w:rFonts w:ascii="Arial" w:hAnsi="Arial" w:cs="Arial"/>
          <w:sz w:val="22"/>
          <w:szCs w:val="22"/>
        </w:rPr>
      </w:pPr>
    </w:p>
    <w:p w14:paraId="633E7744" w14:textId="77777777" w:rsidR="00CB71DB" w:rsidRDefault="00CB71DB" w:rsidP="00CB71DB">
      <w:pPr>
        <w:pStyle w:val="paragraph"/>
        <w:spacing w:before="0" w:beforeAutospacing="0" w:after="0" w:afterAutospacing="0"/>
        <w:jc w:val="both"/>
        <w:textAlignment w:val="baseline"/>
        <w:rPr>
          <w:rStyle w:val="eop"/>
          <w:rFonts w:ascii="Arial" w:hAnsi="Arial" w:cs="Arial"/>
          <w:sz w:val="22"/>
          <w:szCs w:val="22"/>
        </w:rPr>
      </w:pPr>
      <w:r w:rsidRPr="00CB71DB">
        <w:rPr>
          <w:rStyle w:val="normaltextrun"/>
          <w:rFonts w:ascii="Arial" w:hAnsi="Arial" w:cs="Arial"/>
          <w:sz w:val="22"/>
          <w:szCs w:val="22"/>
          <w:lang w:val="fr-FR"/>
        </w:rPr>
        <w:t xml:space="preserve">MORIN, Edgar. </w:t>
      </w:r>
      <w:r w:rsidRPr="00CB71DB">
        <w:rPr>
          <w:rStyle w:val="normaltextrun"/>
          <w:rFonts w:ascii="Arial" w:hAnsi="Arial" w:cs="Arial"/>
          <w:b/>
          <w:bCs/>
          <w:sz w:val="22"/>
          <w:szCs w:val="22"/>
          <w:lang w:val="fr-FR"/>
        </w:rPr>
        <w:t>Éloge de la métamorphose</w:t>
      </w:r>
      <w:r w:rsidRPr="00CB71DB">
        <w:rPr>
          <w:rStyle w:val="normaltextrun"/>
          <w:rFonts w:ascii="Arial" w:hAnsi="Arial" w:cs="Arial"/>
          <w:sz w:val="22"/>
          <w:szCs w:val="22"/>
          <w:lang w:val="fr-FR"/>
        </w:rPr>
        <w:t>, Le Monde, 9 Janeiro 2010. </w:t>
      </w:r>
      <w:r w:rsidRPr="00CB71DB">
        <w:rPr>
          <w:rStyle w:val="eop"/>
          <w:rFonts w:ascii="Arial" w:hAnsi="Arial" w:cs="Arial"/>
          <w:sz w:val="22"/>
          <w:szCs w:val="22"/>
        </w:rPr>
        <w:t> </w:t>
      </w:r>
    </w:p>
    <w:p w14:paraId="002BFD32" w14:textId="77777777" w:rsidR="00CB71DB" w:rsidRPr="00CB71DB" w:rsidRDefault="00CB71DB" w:rsidP="00CB71DB">
      <w:pPr>
        <w:pStyle w:val="paragraph"/>
        <w:spacing w:before="0" w:beforeAutospacing="0" w:after="0" w:afterAutospacing="0"/>
        <w:jc w:val="both"/>
        <w:textAlignment w:val="baseline"/>
        <w:rPr>
          <w:rFonts w:ascii="Arial" w:hAnsi="Arial" w:cs="Arial"/>
          <w:sz w:val="22"/>
          <w:szCs w:val="22"/>
        </w:rPr>
      </w:pPr>
    </w:p>
    <w:p w14:paraId="6E724A8F" w14:textId="77777777" w:rsidR="00CB71DB" w:rsidRDefault="00CB71DB" w:rsidP="00CB71DB">
      <w:pPr>
        <w:pStyle w:val="paragraph"/>
        <w:spacing w:before="0" w:beforeAutospacing="0" w:after="0" w:afterAutospacing="0"/>
        <w:jc w:val="both"/>
        <w:textAlignment w:val="baseline"/>
        <w:rPr>
          <w:rStyle w:val="eop"/>
          <w:rFonts w:ascii="Arial" w:hAnsi="Arial" w:cs="Arial"/>
          <w:sz w:val="22"/>
          <w:szCs w:val="22"/>
        </w:rPr>
      </w:pPr>
      <w:r w:rsidRPr="00CB71DB">
        <w:rPr>
          <w:rStyle w:val="normaltextrun"/>
          <w:rFonts w:ascii="Arial" w:hAnsi="Arial" w:cs="Arial"/>
          <w:sz w:val="22"/>
          <w:szCs w:val="22"/>
          <w:lang w:val="fr-FR"/>
        </w:rPr>
        <w:t xml:space="preserve">MORIN, Edgar. </w:t>
      </w:r>
      <w:r w:rsidRPr="00CB71DB">
        <w:rPr>
          <w:rStyle w:val="normaltextrun"/>
          <w:rFonts w:ascii="Arial" w:hAnsi="Arial" w:cs="Arial"/>
          <w:b/>
          <w:bCs/>
          <w:sz w:val="22"/>
          <w:szCs w:val="22"/>
          <w:lang w:val="fr-FR"/>
        </w:rPr>
        <w:t>La voie: Pour l’avenir de l’humanité</w:t>
      </w:r>
      <w:r w:rsidRPr="00CB71DB">
        <w:rPr>
          <w:rStyle w:val="normaltextrun"/>
          <w:rFonts w:ascii="Arial" w:hAnsi="Arial" w:cs="Arial"/>
          <w:sz w:val="22"/>
          <w:szCs w:val="22"/>
          <w:lang w:val="fr-FR"/>
        </w:rPr>
        <w:t>. Paris: Fayard, 2011.</w:t>
      </w:r>
      <w:r w:rsidRPr="00CB71DB">
        <w:rPr>
          <w:rStyle w:val="eop"/>
          <w:rFonts w:ascii="Arial" w:hAnsi="Arial" w:cs="Arial"/>
          <w:sz w:val="22"/>
          <w:szCs w:val="22"/>
        </w:rPr>
        <w:t> </w:t>
      </w:r>
    </w:p>
    <w:p w14:paraId="4F9B1CAF" w14:textId="77777777" w:rsidR="00CB71DB" w:rsidRPr="00CB71DB" w:rsidRDefault="00CB71DB" w:rsidP="00CB71DB">
      <w:pPr>
        <w:pStyle w:val="paragraph"/>
        <w:spacing w:before="0" w:beforeAutospacing="0" w:after="0" w:afterAutospacing="0"/>
        <w:jc w:val="both"/>
        <w:textAlignment w:val="baseline"/>
        <w:rPr>
          <w:rFonts w:ascii="Arial" w:hAnsi="Arial" w:cs="Arial"/>
          <w:sz w:val="22"/>
          <w:szCs w:val="22"/>
        </w:rPr>
      </w:pPr>
    </w:p>
    <w:p w14:paraId="704B3BB1" w14:textId="77777777" w:rsidR="00CB71DB" w:rsidRDefault="00CB71DB" w:rsidP="00CB71DB">
      <w:pPr>
        <w:pStyle w:val="paragraph"/>
        <w:spacing w:before="0" w:beforeAutospacing="0" w:after="0" w:afterAutospacing="0"/>
        <w:jc w:val="both"/>
        <w:textAlignment w:val="baseline"/>
        <w:rPr>
          <w:rStyle w:val="normaltextrun"/>
          <w:rFonts w:ascii="Arial" w:hAnsi="Arial" w:cs="Arial"/>
          <w:sz w:val="22"/>
          <w:szCs w:val="22"/>
        </w:rPr>
      </w:pPr>
      <w:r w:rsidRPr="00CB71DB">
        <w:rPr>
          <w:rStyle w:val="normaltextrun"/>
          <w:rFonts w:ascii="Arial" w:hAnsi="Arial" w:cs="Arial"/>
          <w:sz w:val="22"/>
          <w:szCs w:val="22"/>
        </w:rPr>
        <w:t xml:space="preserve">NÓVOA, António; ALVIM, Yara. </w:t>
      </w:r>
      <w:r w:rsidRPr="00CB71DB">
        <w:rPr>
          <w:rStyle w:val="normaltextrun"/>
          <w:rFonts w:ascii="Arial" w:hAnsi="Arial" w:cs="Arial"/>
          <w:b/>
          <w:bCs/>
          <w:sz w:val="22"/>
          <w:szCs w:val="22"/>
        </w:rPr>
        <w:t>Escolas e Professores - Proteger, Transformar, Valorizar</w:t>
      </w:r>
      <w:r w:rsidRPr="00CB71DB">
        <w:rPr>
          <w:rStyle w:val="normaltextrun"/>
          <w:rFonts w:ascii="Arial" w:hAnsi="Arial" w:cs="Arial"/>
          <w:sz w:val="22"/>
          <w:szCs w:val="22"/>
        </w:rPr>
        <w:t>. Salvador: EGBA/IAT, 2022. </w:t>
      </w:r>
    </w:p>
    <w:p w14:paraId="61077CC2" w14:textId="4D3B2019" w:rsidR="00CB71DB" w:rsidRPr="00CB71DB" w:rsidRDefault="00CB71DB" w:rsidP="00CB71DB">
      <w:pPr>
        <w:pStyle w:val="paragraph"/>
        <w:spacing w:before="0" w:beforeAutospacing="0" w:after="0" w:afterAutospacing="0"/>
        <w:jc w:val="both"/>
        <w:textAlignment w:val="baseline"/>
        <w:rPr>
          <w:rFonts w:ascii="Arial" w:hAnsi="Arial" w:cs="Arial"/>
          <w:sz w:val="22"/>
          <w:szCs w:val="22"/>
        </w:rPr>
      </w:pPr>
      <w:r w:rsidRPr="00CB71DB">
        <w:rPr>
          <w:rStyle w:val="eop"/>
          <w:rFonts w:ascii="Arial" w:hAnsi="Arial" w:cs="Arial"/>
          <w:sz w:val="22"/>
          <w:szCs w:val="22"/>
        </w:rPr>
        <w:t> </w:t>
      </w:r>
    </w:p>
    <w:p w14:paraId="774A0CC5" w14:textId="77777777" w:rsidR="00CB71DB" w:rsidRDefault="00CB71DB" w:rsidP="00CB71DB">
      <w:pPr>
        <w:pStyle w:val="paragraph"/>
        <w:spacing w:before="0" w:beforeAutospacing="0" w:after="0" w:afterAutospacing="0"/>
        <w:jc w:val="both"/>
        <w:textAlignment w:val="baseline"/>
        <w:rPr>
          <w:rStyle w:val="eop"/>
          <w:rFonts w:ascii="Arial" w:hAnsi="Arial" w:cs="Arial"/>
          <w:sz w:val="22"/>
          <w:szCs w:val="22"/>
        </w:rPr>
      </w:pPr>
      <w:r w:rsidRPr="00CB71DB">
        <w:rPr>
          <w:rStyle w:val="normaltextrun"/>
          <w:rFonts w:ascii="Arial" w:hAnsi="Arial" w:cs="Arial"/>
          <w:sz w:val="22"/>
          <w:szCs w:val="22"/>
          <w:lang w:val="fr-FR"/>
        </w:rPr>
        <w:t xml:space="preserve">SERRES, Michel. </w:t>
      </w:r>
      <w:r w:rsidRPr="00CB71DB">
        <w:rPr>
          <w:rStyle w:val="normaltextrun"/>
          <w:rFonts w:ascii="Arial" w:hAnsi="Arial" w:cs="Arial"/>
          <w:b/>
          <w:bCs/>
          <w:sz w:val="22"/>
          <w:szCs w:val="22"/>
          <w:lang w:val="fr-FR"/>
        </w:rPr>
        <w:t>Petite poucette</w:t>
      </w:r>
      <w:r w:rsidRPr="00CB71DB">
        <w:rPr>
          <w:rStyle w:val="normaltextrun"/>
          <w:rFonts w:ascii="Arial" w:hAnsi="Arial" w:cs="Arial"/>
          <w:sz w:val="22"/>
          <w:szCs w:val="22"/>
          <w:lang w:val="fr-FR"/>
        </w:rPr>
        <w:t>. Paris: Le Pommier, 2012. </w:t>
      </w:r>
      <w:r w:rsidRPr="00CB71DB">
        <w:rPr>
          <w:rStyle w:val="eop"/>
          <w:rFonts w:ascii="Arial" w:hAnsi="Arial" w:cs="Arial"/>
          <w:sz w:val="22"/>
          <w:szCs w:val="22"/>
        </w:rPr>
        <w:t> </w:t>
      </w:r>
    </w:p>
    <w:p w14:paraId="0E2BC834" w14:textId="77777777" w:rsidR="00CB71DB" w:rsidRPr="00CB71DB" w:rsidRDefault="00CB71DB" w:rsidP="00CB71DB">
      <w:pPr>
        <w:pStyle w:val="paragraph"/>
        <w:spacing w:before="0" w:beforeAutospacing="0" w:after="0" w:afterAutospacing="0"/>
        <w:jc w:val="both"/>
        <w:textAlignment w:val="baseline"/>
        <w:rPr>
          <w:rFonts w:ascii="Arial" w:hAnsi="Arial" w:cs="Arial"/>
          <w:sz w:val="22"/>
          <w:szCs w:val="22"/>
        </w:rPr>
      </w:pPr>
    </w:p>
    <w:p w14:paraId="6ED8C9CA" w14:textId="77777777" w:rsidR="00CB71DB" w:rsidRDefault="00CB71DB" w:rsidP="00CB71DB">
      <w:pPr>
        <w:pStyle w:val="paragraph"/>
        <w:spacing w:before="0" w:beforeAutospacing="0" w:after="0" w:afterAutospacing="0"/>
        <w:jc w:val="both"/>
        <w:textAlignment w:val="baseline"/>
        <w:rPr>
          <w:rStyle w:val="eop"/>
          <w:rFonts w:ascii="Arial" w:hAnsi="Arial" w:cs="Arial"/>
          <w:sz w:val="22"/>
          <w:szCs w:val="22"/>
        </w:rPr>
      </w:pPr>
      <w:r w:rsidRPr="00CB71DB">
        <w:rPr>
          <w:rStyle w:val="normaltextrun"/>
          <w:rFonts w:ascii="Arial" w:hAnsi="Arial" w:cs="Arial"/>
          <w:sz w:val="22"/>
          <w:szCs w:val="22"/>
          <w:lang w:val="fr-FR"/>
        </w:rPr>
        <w:t xml:space="preserve">SERRES, Michel. </w:t>
      </w:r>
      <w:r w:rsidRPr="00CB71DB">
        <w:rPr>
          <w:rStyle w:val="normaltextrun"/>
          <w:rFonts w:ascii="Arial" w:hAnsi="Arial" w:cs="Arial"/>
          <w:b/>
          <w:bCs/>
          <w:sz w:val="22"/>
          <w:szCs w:val="22"/>
          <w:lang w:val="fr-FR"/>
        </w:rPr>
        <w:t>Morales espiègles</w:t>
      </w:r>
      <w:r w:rsidRPr="00CB71DB">
        <w:rPr>
          <w:rStyle w:val="normaltextrun"/>
          <w:rFonts w:ascii="Arial" w:hAnsi="Arial" w:cs="Arial"/>
          <w:sz w:val="22"/>
          <w:szCs w:val="22"/>
          <w:lang w:val="fr-FR"/>
        </w:rPr>
        <w:t>. Paris: Le Pommier, 2019.</w:t>
      </w:r>
      <w:r w:rsidRPr="00CB71DB">
        <w:rPr>
          <w:rStyle w:val="eop"/>
          <w:rFonts w:ascii="Arial" w:hAnsi="Arial" w:cs="Arial"/>
          <w:sz w:val="22"/>
          <w:szCs w:val="22"/>
        </w:rPr>
        <w:t> </w:t>
      </w:r>
    </w:p>
    <w:p w14:paraId="28AA45EA" w14:textId="77777777" w:rsidR="00CB71DB" w:rsidRPr="00CB71DB" w:rsidRDefault="00CB71DB" w:rsidP="00CB71DB">
      <w:pPr>
        <w:pStyle w:val="paragraph"/>
        <w:spacing w:before="0" w:beforeAutospacing="0" w:after="0" w:afterAutospacing="0"/>
        <w:jc w:val="both"/>
        <w:textAlignment w:val="baseline"/>
        <w:rPr>
          <w:rFonts w:ascii="Arial" w:hAnsi="Arial" w:cs="Arial"/>
          <w:sz w:val="22"/>
          <w:szCs w:val="22"/>
        </w:rPr>
      </w:pPr>
    </w:p>
    <w:p w14:paraId="02D11968" w14:textId="48FB577A" w:rsidR="00C4410A" w:rsidRPr="00FF5011" w:rsidRDefault="00CB71DB" w:rsidP="00FF5011">
      <w:pPr>
        <w:pStyle w:val="paragraph"/>
        <w:spacing w:before="0" w:beforeAutospacing="0" w:after="0" w:afterAutospacing="0"/>
        <w:jc w:val="both"/>
        <w:textAlignment w:val="baseline"/>
        <w:rPr>
          <w:rFonts w:ascii="Arial" w:hAnsi="Arial" w:cs="Arial"/>
          <w:sz w:val="22"/>
          <w:szCs w:val="22"/>
        </w:rPr>
      </w:pPr>
      <w:r w:rsidRPr="00CB71DB">
        <w:rPr>
          <w:rStyle w:val="normaltextrun"/>
          <w:rFonts w:ascii="Arial" w:hAnsi="Arial" w:cs="Arial"/>
          <w:sz w:val="22"/>
          <w:szCs w:val="22"/>
        </w:rPr>
        <w:lastRenderedPageBreak/>
        <w:t xml:space="preserve">VIGOTSKI, L. S. </w:t>
      </w:r>
      <w:r w:rsidRPr="00CB71DB">
        <w:rPr>
          <w:rStyle w:val="normaltextrun"/>
          <w:rFonts w:ascii="Arial" w:hAnsi="Arial" w:cs="Arial"/>
          <w:b/>
          <w:bCs/>
          <w:sz w:val="22"/>
          <w:szCs w:val="22"/>
        </w:rPr>
        <w:t xml:space="preserve">Sobre os fundamentos da Pedologia. </w:t>
      </w:r>
      <w:r w:rsidRPr="00CB71DB">
        <w:rPr>
          <w:rStyle w:val="normaltextrun"/>
          <w:rFonts w:ascii="Arial" w:hAnsi="Arial" w:cs="Arial"/>
          <w:sz w:val="22"/>
          <w:szCs w:val="22"/>
        </w:rPr>
        <w:t>Rio de Janeiro: E-Papers, 2018.</w:t>
      </w:r>
      <w:r w:rsidRPr="00CB71DB">
        <w:rPr>
          <w:rStyle w:val="eop"/>
          <w:rFonts w:ascii="Arial" w:hAnsi="Arial" w:cs="Arial"/>
          <w:sz w:val="22"/>
          <w:szCs w:val="22"/>
        </w:rPr>
        <w:t> </w:t>
      </w:r>
    </w:p>
    <w:sectPr w:rsidR="00C4410A" w:rsidRPr="00FF5011" w:rsidSect="00D9061D">
      <w:headerReference w:type="even" r:id="rId20"/>
      <w:headerReference w:type="default" r:id="rId21"/>
      <w:footerReference w:type="even" r:id="rId22"/>
      <w:footerReference w:type="default" r:id="rId23"/>
      <w:headerReference w:type="first" r:id="rId24"/>
      <w:footerReference w:type="first" r:id="rId25"/>
      <w:type w:val="continuous"/>
      <w:pgSz w:w="11907" w:h="16840"/>
      <w:pgMar w:top="1134" w:right="1134" w:bottom="1134" w:left="1134" w:header="964"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F729" w14:textId="77777777" w:rsidR="00016996" w:rsidRDefault="00016996">
      <w:pPr>
        <w:spacing w:after="0" w:line="240" w:lineRule="auto"/>
        <w:ind w:left="0"/>
      </w:pPr>
      <w:r>
        <w:separator/>
      </w:r>
    </w:p>
  </w:endnote>
  <w:endnote w:type="continuationSeparator" w:id="0">
    <w:p w14:paraId="54D55A3A" w14:textId="77777777" w:rsidR="00016996" w:rsidRDefault="00016996">
      <w:pPr>
        <w:spacing w:after="0" w:line="240" w:lineRule="auto"/>
        <w:ind w:lef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B3C0" w14:textId="77777777"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t>ABED – Associação Brasileira de Educação a Distância</w:t>
    </w:r>
  </w:p>
  <w:p w14:paraId="4254AEFC" w14:textId="77777777"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2</w:t>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07B" w14:textId="15351B31"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t xml:space="preserve">Anais do </w:t>
    </w:r>
    <w:r w:rsidR="00527073">
      <w:rPr>
        <w:color w:val="808080"/>
        <w:sz w:val="20"/>
        <w:szCs w:val="20"/>
      </w:rPr>
      <w:t>30</w:t>
    </w:r>
    <w:r>
      <w:rPr>
        <w:color w:val="808080"/>
        <w:sz w:val="20"/>
        <w:szCs w:val="20"/>
        <w:u w:val="single"/>
        <w:vertAlign w:val="superscript"/>
      </w:rPr>
      <w:t>o</w:t>
    </w:r>
    <w:r>
      <w:rPr>
        <w:color w:val="808080"/>
        <w:sz w:val="20"/>
        <w:szCs w:val="20"/>
      </w:rPr>
      <w:t xml:space="preserve"> CIAED - Congresso Internacional ABED de Educação a Distância – 202</w:t>
    </w:r>
    <w:r w:rsidR="00386F2B">
      <w:rPr>
        <w:color w:val="808080"/>
        <w:sz w:val="20"/>
        <w:szCs w:val="20"/>
      </w:rPr>
      <w:t>5</w:t>
    </w:r>
  </w:p>
  <w:p w14:paraId="564387B1" w14:textId="00D9F51E"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3</w:t>
    </w:r>
    <w:r>
      <w:rPr>
        <w:color w:val="808080"/>
        <w:sz w:val="20"/>
        <w:szCs w:val="20"/>
      </w:rPr>
      <w:fldChar w:fldCharType="end"/>
    </w:r>
  </w:p>
  <w:p w14:paraId="77B9788D" w14:textId="77777777" w:rsidR="00584823" w:rsidRDefault="00584823">
    <w:pP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4AA4" w14:textId="77777777" w:rsidR="00584823" w:rsidRPr="00F92BD8" w:rsidRDefault="00F92BD8">
    <w:pPr>
      <w:ind w:left="0"/>
      <w:rPr>
        <w:lang w:val="en-US"/>
      </w:rPr>
    </w:pPr>
    <w:r w:rsidRPr="00F92BD8">
      <w:rPr>
        <w:lang w:val="en-US"/>
      </w:rPr>
      <w:t>Proceedings of the XII SIBGRAPI (October 1999) 101-104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358B" w14:textId="77777777" w:rsidR="00016996" w:rsidRDefault="00016996">
      <w:pPr>
        <w:spacing w:after="0" w:line="240" w:lineRule="auto"/>
        <w:ind w:left="0"/>
      </w:pPr>
      <w:r>
        <w:separator/>
      </w:r>
    </w:p>
  </w:footnote>
  <w:footnote w:type="continuationSeparator" w:id="0">
    <w:p w14:paraId="0579B59C" w14:textId="77777777" w:rsidR="00016996" w:rsidRDefault="00016996">
      <w:pPr>
        <w:spacing w:after="0" w:line="240" w:lineRule="auto"/>
        <w:ind w:left="0"/>
      </w:pPr>
      <w:r>
        <w:continuationSeparator/>
      </w:r>
    </w:p>
  </w:footnote>
  <w:footnote w:id="1">
    <w:p w14:paraId="67E8C8FD" w14:textId="79818B9E" w:rsidR="2E8D72AD" w:rsidRDefault="2E8D72AD" w:rsidP="2E8D72AD">
      <w:pPr>
        <w:pStyle w:val="Textodenotaderodap"/>
        <w:ind w:left="0"/>
      </w:pPr>
      <w:r w:rsidRPr="2E8D72AD">
        <w:rPr>
          <w:rStyle w:val="Refdenotaderodap"/>
        </w:rPr>
        <w:footnoteRef/>
      </w:r>
      <w:r w:rsidRPr="2E8D72AD">
        <w:t xml:space="preserve"> Responsividade está abarcando, para este texto, a</w:t>
      </w:r>
      <w:r w:rsidRPr="2E8D72AD">
        <w:rPr>
          <w:color w:val="001D35"/>
        </w:rPr>
        <w:t xml:space="preserve"> </w:t>
      </w:r>
      <w:r w:rsidRPr="2E8D72AD">
        <w:t xml:space="preserve">capacidade de resposta do projeto de curso, da disciplina, do professor e do AVA, à autonomia e à necessidade do aluno, em seu contexto de aprendizagem e de atuação profissional </w:t>
      </w:r>
      <w:proofErr w:type="spellStart"/>
      <w:r w:rsidRPr="2E8D72AD">
        <w:t>locorregional</w:t>
      </w:r>
      <w:proofErr w:type="spellEnd"/>
      <w:r w:rsidRPr="2E8D72A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99D9" w14:textId="47BA1A4E" w:rsidR="2E8D72AD" w:rsidRDefault="2E8D72AD" w:rsidP="2E8D72AD">
    <w:pPr>
      <w:ind w:left="0"/>
      <w:jc w:val="center"/>
      <w:rPr>
        <w:rFonts w:ascii="Open Sans" w:eastAsia="Open Sans" w:hAnsi="Open Sans" w:cs="Open Sans"/>
        <w:color w:val="000000" w:themeColor="text1"/>
        <w:sz w:val="21"/>
        <w:szCs w:val="21"/>
      </w:rPr>
    </w:pPr>
    <w:r w:rsidRPr="2E8D72AD">
      <w:rPr>
        <w:rFonts w:ascii="Open Sans" w:eastAsia="Open Sans" w:hAnsi="Open Sans" w:cs="Open Sans"/>
        <w:color w:val="000000" w:themeColor="text1"/>
        <w:sz w:val="21"/>
        <w:szCs w:val="21"/>
      </w:rPr>
      <w:t xml:space="preserve">Ana Paula Soares; Jucimara de Barros Bandeira; Katia Cristina </w:t>
    </w:r>
    <w:proofErr w:type="spellStart"/>
    <w:r w:rsidRPr="2E8D72AD">
      <w:rPr>
        <w:rFonts w:ascii="Open Sans" w:eastAsia="Open Sans" w:hAnsi="Open Sans" w:cs="Open Sans"/>
        <w:color w:val="000000" w:themeColor="text1"/>
        <w:sz w:val="21"/>
        <w:szCs w:val="21"/>
      </w:rPr>
      <w:t>Dambiski</w:t>
    </w:r>
    <w:proofErr w:type="spellEnd"/>
    <w:r w:rsidRPr="2E8D72AD">
      <w:rPr>
        <w:rFonts w:ascii="Open Sans" w:eastAsia="Open Sans" w:hAnsi="Open Sans" w:cs="Open Sans"/>
        <w:color w:val="000000" w:themeColor="text1"/>
        <w:sz w:val="21"/>
        <w:szCs w:val="21"/>
      </w:rPr>
      <w:t xml:space="preserve"> Soares; Lisandra </w:t>
    </w:r>
    <w:proofErr w:type="spellStart"/>
    <w:r w:rsidRPr="2E8D72AD">
      <w:rPr>
        <w:rFonts w:ascii="Open Sans" w:eastAsia="Open Sans" w:hAnsi="Open Sans" w:cs="Open Sans"/>
        <w:color w:val="000000" w:themeColor="text1"/>
        <w:sz w:val="21"/>
        <w:szCs w:val="21"/>
      </w:rPr>
      <w:t>Babireski</w:t>
    </w:r>
    <w:proofErr w:type="spellEnd"/>
    <w:r w:rsidRPr="2E8D72AD">
      <w:rPr>
        <w:rFonts w:ascii="Open Sans" w:eastAsia="Open Sans" w:hAnsi="Open Sans" w:cs="Open Sans"/>
        <w:color w:val="000000" w:themeColor="text1"/>
        <w:sz w:val="21"/>
        <w:szCs w:val="21"/>
      </w:rPr>
      <w:t xml:space="preserve"> </w:t>
    </w:r>
    <w:proofErr w:type="spellStart"/>
    <w:r w:rsidRPr="2E8D72AD">
      <w:rPr>
        <w:rFonts w:ascii="Open Sans" w:eastAsia="Open Sans" w:hAnsi="Open Sans" w:cs="Open Sans"/>
        <w:color w:val="000000" w:themeColor="text1"/>
        <w:sz w:val="21"/>
        <w:szCs w:val="21"/>
      </w:rPr>
      <w:t>Barcia</w:t>
    </w:r>
    <w:proofErr w:type="spellEnd"/>
    <w:r w:rsidRPr="2E8D72AD">
      <w:rPr>
        <w:rFonts w:ascii="Open Sans" w:eastAsia="Open Sans" w:hAnsi="Open Sans" w:cs="Open Sans"/>
        <w:color w:val="000000" w:themeColor="text1"/>
        <w:sz w:val="21"/>
        <w:szCs w:val="21"/>
      </w:rPr>
      <w:t xml:space="preserve"> da Silva</w:t>
    </w:r>
    <w:hyperlink r:id="rId1">
      <w:r w:rsidRPr="2E8D72AD">
        <w:rPr>
          <w:rStyle w:val="Hyperlink"/>
          <w:rFonts w:ascii="Open Sans" w:eastAsia="Open Sans" w:hAnsi="Open Sans" w:cs="Open Sans"/>
          <w:sz w:val="21"/>
          <w:szCs w:val="21"/>
        </w:rPr>
        <w:t>;</w:t>
      </w:r>
    </w:hyperlink>
    <w:r w:rsidRPr="2E8D72AD">
      <w:rPr>
        <w:rFonts w:ascii="Open Sans" w:eastAsia="Open Sans" w:hAnsi="Open Sans" w:cs="Open Sans"/>
        <w:sz w:val="21"/>
        <w:szCs w:val="21"/>
      </w:rPr>
      <w:t xml:space="preserve"> </w:t>
    </w:r>
    <w:r w:rsidRPr="2E8D72AD">
      <w:rPr>
        <w:rFonts w:ascii="Open Sans" w:eastAsia="Open Sans" w:hAnsi="Open Sans" w:cs="Open Sans"/>
        <w:color w:val="000000" w:themeColor="text1"/>
        <w:sz w:val="21"/>
        <w:szCs w:val="21"/>
      </w:rPr>
      <w:t xml:space="preserve">Rita de Cassia </w:t>
    </w:r>
    <w:proofErr w:type="spellStart"/>
    <w:r w:rsidRPr="2E8D72AD">
      <w:rPr>
        <w:rFonts w:ascii="Open Sans" w:eastAsia="Open Sans" w:hAnsi="Open Sans" w:cs="Open Sans"/>
        <w:color w:val="000000" w:themeColor="text1"/>
        <w:sz w:val="21"/>
        <w:szCs w:val="21"/>
      </w:rPr>
      <w:t>Turmann</w:t>
    </w:r>
    <w:proofErr w:type="spellEnd"/>
    <w:r w:rsidRPr="2E8D72AD">
      <w:rPr>
        <w:rFonts w:ascii="Open Sans" w:eastAsia="Open Sans" w:hAnsi="Open Sans" w:cs="Open Sans"/>
        <w:color w:val="000000" w:themeColor="text1"/>
        <w:sz w:val="21"/>
        <w:szCs w:val="21"/>
      </w:rPr>
      <w:t xml:space="preserve"> </w:t>
    </w:r>
    <w:proofErr w:type="spellStart"/>
    <w:r w:rsidRPr="2E8D72AD">
      <w:rPr>
        <w:rFonts w:ascii="Open Sans" w:eastAsia="Open Sans" w:hAnsi="Open Sans" w:cs="Open Sans"/>
        <w:color w:val="000000" w:themeColor="text1"/>
        <w:sz w:val="21"/>
        <w:szCs w:val="21"/>
      </w:rPr>
      <w:t>Tuchinski</w:t>
    </w:r>
    <w:proofErr w:type="spellEnd"/>
    <w:r w:rsidRPr="2E8D72AD">
      <w:rPr>
        <w:rFonts w:ascii="Open Sans" w:eastAsia="Open Sans" w:hAnsi="Open Sans" w:cs="Open Sans"/>
        <w:color w:val="000000" w:themeColor="text1"/>
        <w:sz w:val="21"/>
        <w:szCs w:val="21"/>
      </w:rPr>
      <w:t xml:space="preserve">; Waldirene </w:t>
    </w:r>
    <w:proofErr w:type="spellStart"/>
    <w:r w:rsidRPr="2E8D72AD">
      <w:rPr>
        <w:rFonts w:ascii="Open Sans" w:eastAsia="Open Sans" w:hAnsi="Open Sans" w:cs="Open Sans"/>
        <w:color w:val="000000" w:themeColor="text1"/>
        <w:sz w:val="21"/>
        <w:szCs w:val="21"/>
      </w:rPr>
      <w:t>Sawozuk</w:t>
    </w:r>
    <w:proofErr w:type="spellEnd"/>
    <w:r w:rsidRPr="2E8D72AD">
      <w:rPr>
        <w:rFonts w:ascii="Open Sans" w:eastAsia="Open Sans" w:hAnsi="Open Sans" w:cs="Open Sans"/>
        <w:color w:val="000000" w:themeColor="text1"/>
        <w:sz w:val="21"/>
        <w:szCs w:val="21"/>
      </w:rPr>
      <w:t xml:space="preserve"> Bellardo</w:t>
    </w:r>
  </w:p>
  <w:p w14:paraId="34F35BDD" w14:textId="77777777" w:rsidR="00584823" w:rsidRDefault="00584823">
    <w:pPr>
      <w:ind w:left="0"/>
      <w:jc w:val="center"/>
      <w:rPr>
        <w:color w:val="808080"/>
        <w:sz w:val="20"/>
        <w:szCs w:val="20"/>
      </w:rPr>
    </w:pPr>
  </w:p>
  <w:p w14:paraId="7718046C" w14:textId="77777777" w:rsidR="00584823" w:rsidRDefault="00584823">
    <w:pPr>
      <w:pBdr>
        <w:top w:val="nil"/>
        <w:left w:val="nil"/>
        <w:bottom w:val="nil"/>
        <w:right w:val="nil"/>
        <w:between w:val="nil"/>
      </w:pBdr>
      <w:spacing w:line="240" w:lineRule="auto"/>
      <w:ind w:left="0"/>
      <w:jc w:val="center"/>
      <w:rPr>
        <w:color w:val="808080"/>
        <w:sz w:val="20"/>
        <w:szCs w:val="20"/>
      </w:rPr>
    </w:pPr>
  </w:p>
  <w:p w14:paraId="6F6EACF3" w14:textId="77777777" w:rsidR="00584823" w:rsidRDefault="00584823">
    <w:pP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6A30" w14:textId="26CC5797" w:rsidR="00584823" w:rsidRDefault="00BD652F">
    <w:pPr>
      <w:ind w:left="0"/>
    </w:pPr>
    <w:r w:rsidRPr="00BD652F">
      <w:rPr>
        <w:color w:val="808080"/>
        <w:sz w:val="20"/>
        <w:szCs w:val="20"/>
      </w:rPr>
      <w:t>ORIENTAÇÃO E ACOMPANHAMENTO DE TCC NOS POLOS INTERNACIONAIS: ENGAJAMENTO E RESPONSIVIDADE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E62F" w14:textId="77777777" w:rsidR="00494EF8" w:rsidRDefault="00494EF8">
    <w:pPr>
      <w:pStyle w:val="Cabealho"/>
      <w:ind w:left="0"/>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23"/>
    <w:rsid w:val="0000686E"/>
    <w:rsid w:val="00016996"/>
    <w:rsid w:val="00022A36"/>
    <w:rsid w:val="00026FC3"/>
    <w:rsid w:val="00052E91"/>
    <w:rsid w:val="00070F64"/>
    <w:rsid w:val="00072193"/>
    <w:rsid w:val="0007745C"/>
    <w:rsid w:val="000867D4"/>
    <w:rsid w:val="000901BB"/>
    <w:rsid w:val="000A3A67"/>
    <w:rsid w:val="000A54CB"/>
    <w:rsid w:val="000B3711"/>
    <w:rsid w:val="000B6170"/>
    <w:rsid w:val="000E4BCA"/>
    <w:rsid w:val="000F29D2"/>
    <w:rsid w:val="0011197A"/>
    <w:rsid w:val="00135186"/>
    <w:rsid w:val="00160E11"/>
    <w:rsid w:val="00171429"/>
    <w:rsid w:val="00175ABF"/>
    <w:rsid w:val="001A1E24"/>
    <w:rsid w:val="001A50FF"/>
    <w:rsid w:val="001C3005"/>
    <w:rsid w:val="001C5542"/>
    <w:rsid w:val="001D2E4A"/>
    <w:rsid w:val="001F2C56"/>
    <w:rsid w:val="0022285F"/>
    <w:rsid w:val="00261792"/>
    <w:rsid w:val="002622F6"/>
    <w:rsid w:val="002711D2"/>
    <w:rsid w:val="0029510F"/>
    <w:rsid w:val="002A061E"/>
    <w:rsid w:val="002C01E7"/>
    <w:rsid w:val="002D5CD1"/>
    <w:rsid w:val="002F19E5"/>
    <w:rsid w:val="002F40A1"/>
    <w:rsid w:val="0030321D"/>
    <w:rsid w:val="003130DA"/>
    <w:rsid w:val="003253E1"/>
    <w:rsid w:val="00352282"/>
    <w:rsid w:val="00361D72"/>
    <w:rsid w:val="00380FAC"/>
    <w:rsid w:val="00386F2B"/>
    <w:rsid w:val="003962A9"/>
    <w:rsid w:val="003A4A8F"/>
    <w:rsid w:val="003A5F6B"/>
    <w:rsid w:val="003E12DE"/>
    <w:rsid w:val="00406F9A"/>
    <w:rsid w:val="004206F3"/>
    <w:rsid w:val="00436AC2"/>
    <w:rsid w:val="00465752"/>
    <w:rsid w:val="00494EF8"/>
    <w:rsid w:val="004A5996"/>
    <w:rsid w:val="004B0A73"/>
    <w:rsid w:val="004C7EC8"/>
    <w:rsid w:val="004E5E79"/>
    <w:rsid w:val="004F2D8A"/>
    <w:rsid w:val="004F738F"/>
    <w:rsid w:val="00502F83"/>
    <w:rsid w:val="00527073"/>
    <w:rsid w:val="00543F56"/>
    <w:rsid w:val="005807FC"/>
    <w:rsid w:val="0058439D"/>
    <w:rsid w:val="00584823"/>
    <w:rsid w:val="00586459"/>
    <w:rsid w:val="005B77DF"/>
    <w:rsid w:val="005B7E01"/>
    <w:rsid w:val="005D3658"/>
    <w:rsid w:val="005E6170"/>
    <w:rsid w:val="005F2F54"/>
    <w:rsid w:val="0060193B"/>
    <w:rsid w:val="00620995"/>
    <w:rsid w:val="006547BB"/>
    <w:rsid w:val="00657821"/>
    <w:rsid w:val="00667882"/>
    <w:rsid w:val="006810CE"/>
    <w:rsid w:val="006A6260"/>
    <w:rsid w:val="006D43D9"/>
    <w:rsid w:val="00704687"/>
    <w:rsid w:val="007240EA"/>
    <w:rsid w:val="00743B00"/>
    <w:rsid w:val="0076087E"/>
    <w:rsid w:val="00765331"/>
    <w:rsid w:val="00795848"/>
    <w:rsid w:val="007A3484"/>
    <w:rsid w:val="007A7F2F"/>
    <w:rsid w:val="007B1A56"/>
    <w:rsid w:val="007F5C0C"/>
    <w:rsid w:val="00802A99"/>
    <w:rsid w:val="00816B7A"/>
    <w:rsid w:val="00822E2D"/>
    <w:rsid w:val="00833073"/>
    <w:rsid w:val="00847FD4"/>
    <w:rsid w:val="00852F0E"/>
    <w:rsid w:val="008C2975"/>
    <w:rsid w:val="008D624A"/>
    <w:rsid w:val="008E0500"/>
    <w:rsid w:val="008E27FB"/>
    <w:rsid w:val="008F61AF"/>
    <w:rsid w:val="008F629C"/>
    <w:rsid w:val="0091631F"/>
    <w:rsid w:val="00917443"/>
    <w:rsid w:val="00917DC8"/>
    <w:rsid w:val="00972AE4"/>
    <w:rsid w:val="009A1A06"/>
    <w:rsid w:val="009A5D9C"/>
    <w:rsid w:val="009C0D5D"/>
    <w:rsid w:val="009F4EF2"/>
    <w:rsid w:val="00A128C7"/>
    <w:rsid w:val="00A24608"/>
    <w:rsid w:val="00A853AA"/>
    <w:rsid w:val="00A855D7"/>
    <w:rsid w:val="00AA4256"/>
    <w:rsid w:val="00AB5949"/>
    <w:rsid w:val="00AD0DF3"/>
    <w:rsid w:val="00AD1890"/>
    <w:rsid w:val="00AF19FD"/>
    <w:rsid w:val="00AF565B"/>
    <w:rsid w:val="00B20E26"/>
    <w:rsid w:val="00B32D3D"/>
    <w:rsid w:val="00B354E2"/>
    <w:rsid w:val="00B407AD"/>
    <w:rsid w:val="00B50825"/>
    <w:rsid w:val="00B579A1"/>
    <w:rsid w:val="00B72C8B"/>
    <w:rsid w:val="00B874C2"/>
    <w:rsid w:val="00BA41D1"/>
    <w:rsid w:val="00BA6959"/>
    <w:rsid w:val="00BA7A51"/>
    <w:rsid w:val="00BB70D9"/>
    <w:rsid w:val="00BC2533"/>
    <w:rsid w:val="00BD0ABD"/>
    <w:rsid w:val="00BD2811"/>
    <w:rsid w:val="00BD652F"/>
    <w:rsid w:val="00BE7C0B"/>
    <w:rsid w:val="00BF6B7F"/>
    <w:rsid w:val="00C11436"/>
    <w:rsid w:val="00C140A4"/>
    <w:rsid w:val="00C20D14"/>
    <w:rsid w:val="00C24908"/>
    <w:rsid w:val="00C358B4"/>
    <w:rsid w:val="00C40D72"/>
    <w:rsid w:val="00C4410A"/>
    <w:rsid w:val="00C5509E"/>
    <w:rsid w:val="00C57A63"/>
    <w:rsid w:val="00C6108B"/>
    <w:rsid w:val="00C80D4B"/>
    <w:rsid w:val="00C836CF"/>
    <w:rsid w:val="00CA5599"/>
    <w:rsid w:val="00CA6CAF"/>
    <w:rsid w:val="00CB71DB"/>
    <w:rsid w:val="00CB7BB1"/>
    <w:rsid w:val="00CE1C5E"/>
    <w:rsid w:val="00CE2610"/>
    <w:rsid w:val="00CF1875"/>
    <w:rsid w:val="00D116DA"/>
    <w:rsid w:val="00D26153"/>
    <w:rsid w:val="00D30CF6"/>
    <w:rsid w:val="00D47383"/>
    <w:rsid w:val="00D7318C"/>
    <w:rsid w:val="00D9035B"/>
    <w:rsid w:val="00D9061D"/>
    <w:rsid w:val="00D93174"/>
    <w:rsid w:val="00DB1C97"/>
    <w:rsid w:val="00DC0130"/>
    <w:rsid w:val="00DF1094"/>
    <w:rsid w:val="00DF3700"/>
    <w:rsid w:val="00E005E0"/>
    <w:rsid w:val="00E00F6A"/>
    <w:rsid w:val="00E269C7"/>
    <w:rsid w:val="00E94D34"/>
    <w:rsid w:val="00EF5EDC"/>
    <w:rsid w:val="00EF7238"/>
    <w:rsid w:val="00F05AFB"/>
    <w:rsid w:val="00F21F9D"/>
    <w:rsid w:val="00F22DDA"/>
    <w:rsid w:val="00F33E06"/>
    <w:rsid w:val="00F476B7"/>
    <w:rsid w:val="00F90304"/>
    <w:rsid w:val="00F92BD8"/>
    <w:rsid w:val="00FA0C25"/>
    <w:rsid w:val="00FA62F9"/>
    <w:rsid w:val="00FB00E9"/>
    <w:rsid w:val="00FC40FE"/>
    <w:rsid w:val="00FF5011"/>
    <w:rsid w:val="02816B37"/>
    <w:rsid w:val="039EFDBE"/>
    <w:rsid w:val="056AFCD5"/>
    <w:rsid w:val="0D01CC1B"/>
    <w:rsid w:val="0DBAE7EF"/>
    <w:rsid w:val="1032D7AA"/>
    <w:rsid w:val="10486A09"/>
    <w:rsid w:val="1357B0D3"/>
    <w:rsid w:val="14B2F9FF"/>
    <w:rsid w:val="14D1EBC1"/>
    <w:rsid w:val="18CC6172"/>
    <w:rsid w:val="1A4049BC"/>
    <w:rsid w:val="1A6FFFF5"/>
    <w:rsid w:val="1B163FE4"/>
    <w:rsid w:val="206BE1AB"/>
    <w:rsid w:val="2635021C"/>
    <w:rsid w:val="26D2DF84"/>
    <w:rsid w:val="29746BD0"/>
    <w:rsid w:val="2E8D72AD"/>
    <w:rsid w:val="30324D96"/>
    <w:rsid w:val="32AB6C13"/>
    <w:rsid w:val="3433AC09"/>
    <w:rsid w:val="371BA832"/>
    <w:rsid w:val="3A01024A"/>
    <w:rsid w:val="3A57A926"/>
    <w:rsid w:val="3E70BFA2"/>
    <w:rsid w:val="417D6BB9"/>
    <w:rsid w:val="41BCEC01"/>
    <w:rsid w:val="46ACF7E5"/>
    <w:rsid w:val="46EBB814"/>
    <w:rsid w:val="4F86AA8B"/>
    <w:rsid w:val="52B4BE77"/>
    <w:rsid w:val="55D322AD"/>
    <w:rsid w:val="57DBF676"/>
    <w:rsid w:val="58609BEA"/>
    <w:rsid w:val="5873A066"/>
    <w:rsid w:val="5B3053C6"/>
    <w:rsid w:val="5BFACF8F"/>
    <w:rsid w:val="5CFEEBB0"/>
    <w:rsid w:val="5E28D9CE"/>
    <w:rsid w:val="61E8393C"/>
    <w:rsid w:val="649823D7"/>
    <w:rsid w:val="67649832"/>
    <w:rsid w:val="6AF75489"/>
    <w:rsid w:val="6B6E39A6"/>
    <w:rsid w:val="6BB307E3"/>
    <w:rsid w:val="6DB4602E"/>
    <w:rsid w:val="6F5749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DD3FA"/>
  <w15:docId w15:val="{36C351D3-299C-4CAB-9105-A68A5478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tabs>
          <w:tab w:val="left" w:pos="720"/>
        </w:tabs>
        <w:spacing w:after="120"/>
        <w:ind w:left="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2"/>
      <w:textAlignment w:val="top"/>
      <w:outlineLvl w:val="0"/>
    </w:pPr>
    <w:rPr>
      <w:position w:val="-1"/>
    </w:rPr>
  </w:style>
  <w:style w:type="paragraph" w:styleId="Ttulo1">
    <w:name w:val="heading 1"/>
    <w:basedOn w:val="Normal"/>
    <w:next w:val="Normal"/>
    <w:uiPriority w:val="9"/>
    <w:qFormat/>
    <w:pPr>
      <w:keepNext/>
      <w:keepLines/>
      <w:spacing w:before="48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spacing w:before="240" w:after="60"/>
      <w:ind w:hanging="1"/>
      <w:outlineLvl w:val="5"/>
    </w:pPr>
    <w:rPr>
      <w:rFonts w:ascii="Times New Roman" w:hAnsi="Times New Roman"/>
      <w:b/>
      <w:bCs/>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left="3" w:firstLineChars="0" w:hanging="3"/>
    </w:pPr>
    <w:rPr>
      <w:b/>
      <w:bCs/>
      <w:sz w:val="28"/>
      <w:szCs w:val="32"/>
    </w:rPr>
  </w:style>
  <w:style w:type="table" w:customStyle="1" w:styleId="TableNormal0">
    <w:name w:val="Table Normal0"/>
    <w:tblPr>
      <w:tblCellMar>
        <w:top w:w="0" w:type="dxa"/>
        <w:left w:w="0" w:type="dxa"/>
        <w:bottom w:w="0" w:type="dxa"/>
        <w:right w:w="0" w:type="dxa"/>
      </w:tblCellMar>
    </w:tblPr>
  </w:style>
  <w:style w:type="paragraph" w:customStyle="1" w:styleId="Ttulo1SeoN1">
    <w:name w:val="Título 1;Seção N1"/>
    <w:basedOn w:val="Normal"/>
    <w:next w:val="Normal"/>
    <w:pPr>
      <w:keepNext/>
      <w:ind w:left="3" w:hanging="3"/>
      <w:jc w:val="left"/>
    </w:pPr>
    <w:rPr>
      <w:b/>
      <w:kern w:val="28"/>
      <w:sz w:val="28"/>
      <w:szCs w:val="28"/>
      <w:lang w:val="en-US"/>
    </w:rPr>
  </w:style>
  <w:style w:type="paragraph" w:customStyle="1" w:styleId="Ttulo2SeoN2">
    <w:name w:val="Título 2;Seção N2"/>
    <w:basedOn w:val="Normal"/>
    <w:next w:val="Normal"/>
    <w:qFormat/>
    <w:pPr>
      <w:keepNext/>
      <w:jc w:val="left"/>
      <w:outlineLvl w:val="1"/>
    </w:pPr>
    <w:rPr>
      <w:b/>
      <w:sz w:val="24"/>
    </w:rPr>
  </w:style>
  <w:style w:type="paragraph" w:customStyle="1" w:styleId="Ttulo3SeoN3">
    <w:name w:val="Título 3;Seção N3"/>
    <w:basedOn w:val="Normal"/>
    <w:next w:val="Normal"/>
    <w:qFormat/>
    <w:pPr>
      <w:keepNext/>
      <w:ind w:firstLineChars="0" w:firstLine="0"/>
      <w:outlineLvl w:val="2"/>
    </w:pPr>
    <w:rPr>
      <w:b/>
    </w:rPr>
  </w:style>
  <w:style w:type="paragraph" w:customStyle="1" w:styleId="Ttulo4SeoN4">
    <w:name w:val="Título 4;Seção N4"/>
    <w:basedOn w:val="Normal"/>
    <w:next w:val="Normal"/>
    <w:qFormat/>
    <w:pPr>
      <w:keepNext/>
      <w:jc w:val="left"/>
      <w:outlineLvl w:val="3"/>
    </w:pPr>
    <w:rPr>
      <w:b/>
      <w:i/>
    </w:rPr>
  </w:style>
  <w:style w:type="paragraph" w:customStyle="1" w:styleId="Ttulo5SeoN5">
    <w:name w:val="Título 5;Seção N5"/>
    <w:basedOn w:val="Normal"/>
    <w:next w:val="Normal"/>
    <w:qFormat/>
    <w:pPr>
      <w:outlineLvl w:val="4"/>
    </w:pPr>
    <w:rPr>
      <w:i/>
    </w:rPr>
  </w:style>
  <w:style w:type="table" w:customStyle="1" w:styleId="TableNormal1">
    <w:name w:val="Table Normal1"/>
    <w:next w:val="TableNormal0"/>
    <w:pPr>
      <w:suppressAutoHyphens/>
      <w:spacing w:line="1" w:lineRule="atLeast"/>
      <w:ind w:leftChars="-1" w:left="-1" w:hangingChars="1" w:hanging="1"/>
      <w:textDirection w:val="btLr"/>
      <w:textAlignment w:val="top"/>
      <w:outlineLvl w:val="0"/>
    </w:pPr>
    <w:rPr>
      <w:position w:val="-1"/>
      <w:lang w:val="en-US" w:eastAsia="en-US"/>
    </w:rPr>
    <w:tblPr>
      <w:tblCellMar>
        <w:top w:w="0" w:type="dxa"/>
        <w:left w:w="0" w:type="dxa"/>
        <w:bottom w:w="0" w:type="dxa"/>
        <w:right w:w="0" w:type="dxa"/>
      </w:tblCellMar>
    </w:tblPr>
  </w:style>
  <w:style w:type="paragraph" w:customStyle="1" w:styleId="Author">
    <w:name w:val="Author"/>
    <w:basedOn w:val="Normal"/>
    <w:pPr>
      <w:spacing w:before="240"/>
      <w:ind w:hanging="1"/>
      <w:jc w:val="center"/>
    </w:pPr>
    <w:rPr>
      <w:rFonts w:ascii="Times" w:hAnsi="Times"/>
      <w:b/>
      <w:sz w:val="24"/>
      <w:szCs w:val="24"/>
      <w:lang w:val="en-US"/>
    </w:rPr>
  </w:style>
  <w:style w:type="paragraph" w:customStyle="1" w:styleId="Address">
    <w:name w:val="Address"/>
    <w:basedOn w:val="Normal"/>
    <w:pPr>
      <w:spacing w:before="240"/>
      <w:ind w:hanging="1"/>
      <w:jc w:val="center"/>
    </w:pPr>
    <w:rPr>
      <w:rFonts w:ascii="Times" w:hAnsi="Times"/>
      <w:sz w:val="24"/>
    </w:rPr>
  </w:style>
  <w:style w:type="character" w:customStyle="1" w:styleId="AddressChar">
    <w:name w:val="Address Char"/>
    <w:rPr>
      <w:rFonts w:ascii="Times" w:hAnsi="Times"/>
      <w:w w:val="100"/>
      <w:position w:val="-1"/>
      <w:sz w:val="24"/>
      <w:effect w:val="none"/>
      <w:vertAlign w:val="baseline"/>
      <w:cs w:val="0"/>
      <w:em w:val="none"/>
    </w:rPr>
  </w:style>
  <w:style w:type="paragraph" w:customStyle="1" w:styleId="Email">
    <w:name w:val="Email"/>
    <w:basedOn w:val="Normal"/>
    <w:pPr>
      <w:spacing w:before="120"/>
      <w:ind w:hanging="1"/>
      <w:jc w:val="center"/>
    </w:pPr>
    <w:rPr>
      <w:rFonts w:ascii="Courier New" w:hAnsi="Courier New"/>
      <w:sz w:val="20"/>
      <w:lang w:val="en-US"/>
    </w:rPr>
  </w:style>
  <w:style w:type="paragraph" w:customStyle="1" w:styleId="Abstract">
    <w:name w:val="Abstract"/>
    <w:basedOn w:val="Normal"/>
    <w:pPr>
      <w:spacing w:before="120"/>
      <w:ind w:left="454" w:right="454" w:hanging="1"/>
    </w:pPr>
    <w:rPr>
      <w:rFonts w:ascii="Times" w:hAnsi="Times"/>
      <w:i/>
      <w:sz w:val="24"/>
      <w:szCs w:val="24"/>
    </w:rPr>
  </w:style>
  <w:style w:type="paragraph" w:customStyle="1" w:styleId="Figure">
    <w:name w:val="Figure"/>
    <w:basedOn w:val="Normal"/>
    <w:pPr>
      <w:spacing w:before="120"/>
      <w:ind w:hanging="1"/>
      <w:jc w:val="center"/>
    </w:pPr>
    <w:rPr>
      <w:rFonts w:ascii="Times" w:hAnsi="Times"/>
      <w:noProof/>
      <w:sz w:val="24"/>
    </w:rPr>
  </w:style>
  <w:style w:type="paragraph" w:customStyle="1" w:styleId="Reference">
    <w:name w:val="Reference"/>
    <w:basedOn w:val="Normal"/>
    <w:pPr>
      <w:spacing w:before="120"/>
      <w:ind w:left="284" w:hanging="284"/>
    </w:pPr>
    <w:rPr>
      <w:rFonts w:ascii="Times" w:hAnsi="Times"/>
      <w:sz w:val="24"/>
      <w:lang w:val="en-US"/>
    </w:rPr>
  </w:style>
  <w:style w:type="character" w:styleId="Hyperlink">
    <w:name w:val="Hyperlink"/>
    <w:rPr>
      <w:color w:val="0000FF"/>
      <w:w w:val="100"/>
      <w:position w:val="-1"/>
      <w:u w:val="single"/>
      <w:effect w:val="none"/>
      <w:vertAlign w:val="baseline"/>
      <w:cs w:val="0"/>
      <w:em w:val="none"/>
    </w:rPr>
  </w:style>
  <w:style w:type="paragraph" w:styleId="Legenda">
    <w:name w:val="caption"/>
    <w:basedOn w:val="Normal"/>
    <w:next w:val="Normal"/>
    <w:pPr>
      <w:spacing w:before="120"/>
      <w:ind w:left="454" w:right="454" w:hanging="1"/>
      <w:jc w:val="center"/>
    </w:pPr>
    <w:rPr>
      <w:rFonts w:ascii="Helvetica" w:hAnsi="Helvetica"/>
      <w:b/>
      <w:bCs/>
      <w:sz w:val="20"/>
      <w:lang w:val="en-US"/>
    </w:rPr>
  </w:style>
  <w:style w:type="paragraph" w:styleId="Pr-formataoHTML">
    <w:name w:val="HTML Preformatted"/>
    <w:basedOn w:val="Normal"/>
    <w:pPr>
      <w:ind w:hanging="1"/>
      <w:jc w:val="left"/>
    </w:pPr>
    <w:rPr>
      <w:rFonts w:ascii="Courier New" w:hAnsi="Courier New" w:cs="Courier New"/>
      <w:sz w:val="20"/>
      <w:lang w:val="en-US" w:eastAsia="en-US"/>
    </w:rPr>
  </w:style>
  <w:style w:type="paragraph" w:customStyle="1" w:styleId="SubttuloAutores">
    <w:name w:val="Subtítulo;Autores"/>
    <w:basedOn w:val="Normal"/>
    <w:next w:val="Normal"/>
    <w:pPr>
      <w:ind w:leftChars="0" w:left="0"/>
      <w:jc w:val="center"/>
    </w:p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customStyle="1" w:styleId="SemEspaamentoTitle">
    <w:name w:val="Sem Espaçamento;Title"/>
    <w:pPr>
      <w:spacing w:line="1" w:lineRule="atLeast"/>
      <w:ind w:leftChars="-1" w:left="-1" w:hangingChars="1" w:hanging="2"/>
      <w:jc w:val="center"/>
      <w:textAlignment w:val="top"/>
      <w:outlineLvl w:val="0"/>
    </w:pPr>
    <w:rPr>
      <w:i/>
      <w:position w:val="-1"/>
      <w:sz w:val="24"/>
      <w:lang w:val="en-US"/>
    </w:rPr>
  </w:style>
  <w:style w:type="character" w:customStyle="1" w:styleId="nfaseSutilemails">
    <w:name w:val="Ênfase Sutil;emails"/>
    <w:rPr>
      <w:w w:val="100"/>
      <w:position w:val="-1"/>
      <w:sz w:val="20"/>
      <w:szCs w:val="20"/>
      <w:effect w:val="none"/>
      <w:vertAlign w:val="baseline"/>
      <w:cs w:val="0"/>
      <w:em w:val="none"/>
    </w:rPr>
  </w:style>
  <w:style w:type="paragraph" w:styleId="Rodap">
    <w:name w:val="footer"/>
    <w:basedOn w:val="Normal"/>
    <w:qFormat/>
    <w:pPr>
      <w:tabs>
        <w:tab w:val="clear" w:pos="720"/>
        <w:tab w:val="center" w:pos="4680"/>
        <w:tab w:val="right" w:pos="9360"/>
      </w:tabs>
      <w:suppressAutoHyphens/>
      <w:ind w:leftChars="0" w:left="0" w:firstLineChars="0" w:firstLine="0"/>
      <w:jc w:val="left"/>
      <w:textDirection w:val="btLr"/>
      <w:textAlignment w:val="auto"/>
      <w:outlineLvl w:val="9"/>
    </w:pPr>
    <w:rPr>
      <w:rFonts w:ascii="Calibri" w:eastAsia="Times New Roman" w:hAnsi="Calibri" w:cs="Times New Roman"/>
      <w:position w:val="0"/>
      <w:lang w:val="en-US" w:eastAsia="en-US"/>
    </w:rPr>
  </w:style>
  <w:style w:type="character" w:customStyle="1" w:styleId="RodapChar">
    <w:name w:val="Rodapé Char"/>
    <w:rPr>
      <w:rFonts w:ascii="Calibri" w:eastAsia="Times New Roman" w:hAnsi="Calibri" w:cs="Times New Roman"/>
      <w:w w:val="100"/>
      <w:position w:val="-1"/>
      <w:sz w:val="22"/>
      <w:szCs w:val="22"/>
      <w:effect w:val="none"/>
      <w:vertAlign w:val="baseline"/>
      <w:cs w:val="0"/>
      <w:em w:val="none"/>
    </w:rPr>
  </w:style>
  <w:style w:type="paragraph" w:styleId="Cabealho">
    <w:name w:val="header"/>
    <w:basedOn w:val="Normal"/>
    <w:qFormat/>
    <w:pPr>
      <w:tabs>
        <w:tab w:val="clear" w:pos="720"/>
        <w:tab w:val="center" w:pos="4680"/>
        <w:tab w:val="right" w:pos="9360"/>
      </w:tabs>
    </w:pPr>
  </w:style>
  <w:style w:type="character" w:customStyle="1" w:styleId="CabealhoChar">
    <w:name w:val="Cabeçalho Char"/>
    <w:rPr>
      <w:w w:val="100"/>
      <w:position w:val="-1"/>
      <w:sz w:val="22"/>
      <w:szCs w:val="22"/>
      <w:effect w:val="none"/>
      <w:vertAlign w:val="baseline"/>
      <w:cs w:val="0"/>
      <w:em w:val="none"/>
      <w:lang w:val="pt-BR" w:eastAsia="pt-BR"/>
    </w:rPr>
  </w:style>
  <w:style w:type="paragraph" w:customStyle="1" w:styleId="PargrafodaListaDescrio">
    <w:name w:val="Parágrafo da Lista;Descrição"/>
    <w:basedOn w:val="Normal"/>
    <w:pPr>
      <w:jc w:val="center"/>
    </w:pPr>
    <w:rPr>
      <w:sz w:val="20"/>
      <w:szCs w:val="20"/>
    </w:rPr>
  </w:style>
  <w:style w:type="character" w:customStyle="1" w:styleId="TtulodoLivroFonte">
    <w:name w:val="Título do Livro;Fonte"/>
    <w:rPr>
      <w:w w:val="100"/>
      <w:position w:val="-1"/>
      <w:effect w:val="none"/>
      <w:vertAlign w:val="baseline"/>
      <w:cs w:val="0"/>
      <w:em w:val="none"/>
    </w:rPr>
  </w:style>
  <w:style w:type="character" w:customStyle="1" w:styleId="nfaseResumoIngls">
    <w:name w:val="Ênfase;Resumo Inglês"/>
    <w:rPr>
      <w:i/>
      <w:w w:val="100"/>
      <w:position w:val="-1"/>
      <w:effect w:val="none"/>
      <w:vertAlign w:val="baseline"/>
      <w:cs w:val="0"/>
      <w:em w:val="none"/>
    </w:rPr>
  </w:style>
  <w:style w:type="character" w:customStyle="1" w:styleId="RefernciaSutilReferncia">
    <w:name w:val="Referência Sutil;Referência"/>
    <w:rPr>
      <w:w w:val="100"/>
      <w:position w:val="-1"/>
      <w:effect w:val="none"/>
      <w:vertAlign w:val="baseline"/>
      <w:cs w:val="0"/>
      <w:em w:val="none"/>
    </w:rPr>
  </w:style>
  <w:style w:type="character" w:styleId="RefernciaIntensa">
    <w:name w:val="Intense Reference"/>
    <w:rPr>
      <w:b/>
      <w:bCs/>
      <w:smallCaps/>
      <w:color w:val="4F81BD"/>
      <w:spacing w:val="5"/>
      <w:w w:val="100"/>
      <w:position w:val="-1"/>
      <w:effect w:val="none"/>
      <w:vertAlign w:val="baseline"/>
      <w:cs w:val="0"/>
      <w:em w:val="none"/>
    </w:rPr>
  </w:style>
  <w:style w:type="paragraph" w:customStyle="1" w:styleId="Referncias">
    <w:name w:val="Referências"/>
    <w:basedOn w:val="Normal"/>
    <w:pPr>
      <w:jc w:val="left"/>
    </w:pPr>
  </w:style>
  <w:style w:type="character" w:customStyle="1" w:styleId="nfaseIntensaTabelaT">
    <w:name w:val="Ênfase Intensa;Tabela T"/>
    <w:rPr>
      <w:b/>
      <w:w w:val="100"/>
      <w:position w:val="-1"/>
      <w:sz w:val="18"/>
      <w:szCs w:val="18"/>
      <w:effect w:val="none"/>
      <w:vertAlign w:val="baseline"/>
      <w:cs w:val="0"/>
      <w:em w:val="none"/>
    </w:rPr>
  </w:style>
  <w:style w:type="character" w:customStyle="1" w:styleId="RefernciasChar">
    <w:name w:val="Referências Char"/>
    <w:rPr>
      <w:w w:val="100"/>
      <w:position w:val="-1"/>
      <w:sz w:val="22"/>
      <w:szCs w:val="22"/>
      <w:effect w:val="none"/>
      <w:vertAlign w:val="baseline"/>
      <w:cs w:val="0"/>
      <w:em w:val="none"/>
      <w:lang w:val="pt-BR" w:eastAsia="pt-BR"/>
    </w:rPr>
  </w:style>
  <w:style w:type="character" w:customStyle="1" w:styleId="ForteTabelaC">
    <w:name w:val="Forte;Tabela C"/>
    <w:rPr>
      <w:w w:val="100"/>
      <w:position w:val="-1"/>
      <w:sz w:val="16"/>
      <w:szCs w:val="1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customStyle="1" w:styleId="paragraph">
    <w:name w:val="paragraph"/>
    <w:basedOn w:val="Normal"/>
    <w:rsid w:val="00CB71DB"/>
    <w:pPr>
      <w:tabs>
        <w:tab w:val="clear" w:pos="720"/>
      </w:tabs>
      <w:spacing w:before="100" w:beforeAutospacing="1" w:after="100" w:afterAutospacing="1" w:line="240" w:lineRule="auto"/>
      <w:ind w:leftChars="0" w:left="0" w:firstLineChars="0" w:firstLine="0"/>
      <w:jc w:val="left"/>
      <w:textAlignment w:val="auto"/>
      <w:outlineLvl w:val="9"/>
    </w:pPr>
    <w:rPr>
      <w:rFonts w:ascii="Times New Roman" w:eastAsia="Times New Roman" w:hAnsi="Times New Roman" w:cs="Times New Roman"/>
      <w:position w:val="0"/>
      <w:sz w:val="24"/>
      <w:szCs w:val="24"/>
    </w:rPr>
  </w:style>
  <w:style w:type="character" w:customStyle="1" w:styleId="normaltextrun">
    <w:name w:val="normaltextrun"/>
    <w:basedOn w:val="Fontepargpadro"/>
    <w:rsid w:val="00CB71DB"/>
  </w:style>
  <w:style w:type="character" w:customStyle="1" w:styleId="eop">
    <w:name w:val="eop"/>
    <w:basedOn w:val="Fontepargpadro"/>
    <w:rsid w:val="00CB71DB"/>
  </w:style>
  <w:style w:type="paragraph" w:styleId="Textodenotaderodap">
    <w:name w:val="footnote text"/>
    <w:basedOn w:val="Normal"/>
    <w:uiPriority w:val="99"/>
    <w:semiHidden/>
    <w:unhideWhenUsed/>
    <w:rsid w:val="2E8D72AD"/>
    <w:pPr>
      <w:spacing w:after="0" w:line="240" w:lineRule="auto"/>
    </w:pPr>
    <w:rPr>
      <w:sz w:val="20"/>
      <w:szCs w:val="20"/>
    </w:rPr>
  </w:style>
  <w:style w:type="character" w:styleId="Refdenotaderodap">
    <w:name w:val="footnote reference"/>
    <w:basedOn w:val="Fontepargpadro"/>
    <w:uiPriority w:val="99"/>
    <w:semiHidden/>
    <w:unhideWhenUsed/>
    <w:rPr>
      <w:vertAlign w:val="superscript"/>
    </w:rPr>
  </w:style>
  <w:style w:type="character" w:styleId="MenoPendente">
    <w:name w:val="Unresolved Mention"/>
    <w:basedOn w:val="Fontepargpadro"/>
    <w:uiPriority w:val="99"/>
    <w:semiHidden/>
    <w:unhideWhenUsed/>
    <w:rsid w:val="00E00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454713">
      <w:bodyDiv w:val="1"/>
      <w:marLeft w:val="0"/>
      <w:marRight w:val="0"/>
      <w:marTop w:val="0"/>
      <w:marBottom w:val="0"/>
      <w:divBdr>
        <w:top w:val="none" w:sz="0" w:space="0" w:color="auto"/>
        <w:left w:val="none" w:sz="0" w:space="0" w:color="auto"/>
        <w:bottom w:val="none" w:sz="0" w:space="0" w:color="auto"/>
        <w:right w:val="none" w:sz="0" w:space="0" w:color="auto"/>
      </w:divBdr>
      <w:divsChild>
        <w:div w:id="974994143">
          <w:marLeft w:val="0"/>
          <w:marRight w:val="0"/>
          <w:marTop w:val="0"/>
          <w:marBottom w:val="0"/>
          <w:divBdr>
            <w:top w:val="none" w:sz="0" w:space="0" w:color="auto"/>
            <w:left w:val="none" w:sz="0" w:space="0" w:color="auto"/>
            <w:bottom w:val="none" w:sz="0" w:space="0" w:color="auto"/>
            <w:right w:val="none" w:sz="0" w:space="0" w:color="auto"/>
          </w:divBdr>
        </w:div>
        <w:div w:id="158691561">
          <w:marLeft w:val="0"/>
          <w:marRight w:val="0"/>
          <w:marTop w:val="0"/>
          <w:marBottom w:val="0"/>
          <w:divBdr>
            <w:top w:val="none" w:sz="0" w:space="0" w:color="auto"/>
            <w:left w:val="none" w:sz="0" w:space="0" w:color="auto"/>
            <w:bottom w:val="none" w:sz="0" w:space="0" w:color="auto"/>
            <w:right w:val="none" w:sz="0" w:space="0" w:color="auto"/>
          </w:divBdr>
        </w:div>
        <w:div w:id="1292394556">
          <w:marLeft w:val="0"/>
          <w:marRight w:val="0"/>
          <w:marTop w:val="0"/>
          <w:marBottom w:val="0"/>
          <w:divBdr>
            <w:top w:val="none" w:sz="0" w:space="0" w:color="auto"/>
            <w:left w:val="none" w:sz="0" w:space="0" w:color="auto"/>
            <w:bottom w:val="none" w:sz="0" w:space="0" w:color="auto"/>
            <w:right w:val="none" w:sz="0" w:space="0" w:color="auto"/>
          </w:divBdr>
        </w:div>
        <w:div w:id="2030789537">
          <w:marLeft w:val="0"/>
          <w:marRight w:val="0"/>
          <w:marTop w:val="0"/>
          <w:marBottom w:val="0"/>
          <w:divBdr>
            <w:top w:val="none" w:sz="0" w:space="0" w:color="auto"/>
            <w:left w:val="none" w:sz="0" w:space="0" w:color="auto"/>
            <w:bottom w:val="none" w:sz="0" w:space="0" w:color="auto"/>
            <w:right w:val="none" w:sz="0" w:space="0" w:color="auto"/>
          </w:divBdr>
        </w:div>
        <w:div w:id="1097166860">
          <w:marLeft w:val="0"/>
          <w:marRight w:val="0"/>
          <w:marTop w:val="0"/>
          <w:marBottom w:val="0"/>
          <w:divBdr>
            <w:top w:val="none" w:sz="0" w:space="0" w:color="auto"/>
            <w:left w:val="none" w:sz="0" w:space="0" w:color="auto"/>
            <w:bottom w:val="none" w:sz="0" w:space="0" w:color="auto"/>
            <w:right w:val="none" w:sz="0" w:space="0" w:color="auto"/>
          </w:divBdr>
        </w:div>
        <w:div w:id="678580513">
          <w:marLeft w:val="0"/>
          <w:marRight w:val="0"/>
          <w:marTop w:val="0"/>
          <w:marBottom w:val="0"/>
          <w:divBdr>
            <w:top w:val="none" w:sz="0" w:space="0" w:color="auto"/>
            <w:left w:val="none" w:sz="0" w:space="0" w:color="auto"/>
            <w:bottom w:val="none" w:sz="0" w:space="0" w:color="auto"/>
            <w:right w:val="none" w:sz="0" w:space="0" w:color="auto"/>
          </w:divBdr>
        </w:div>
        <w:div w:id="2007441720">
          <w:marLeft w:val="0"/>
          <w:marRight w:val="0"/>
          <w:marTop w:val="0"/>
          <w:marBottom w:val="0"/>
          <w:divBdr>
            <w:top w:val="none" w:sz="0" w:space="0" w:color="auto"/>
            <w:left w:val="none" w:sz="0" w:space="0" w:color="auto"/>
            <w:bottom w:val="none" w:sz="0" w:space="0" w:color="auto"/>
            <w:right w:val="none" w:sz="0" w:space="0" w:color="auto"/>
          </w:divBdr>
        </w:div>
        <w:div w:id="1919055910">
          <w:marLeft w:val="0"/>
          <w:marRight w:val="0"/>
          <w:marTop w:val="0"/>
          <w:marBottom w:val="0"/>
          <w:divBdr>
            <w:top w:val="none" w:sz="0" w:space="0" w:color="auto"/>
            <w:left w:val="none" w:sz="0" w:space="0" w:color="auto"/>
            <w:bottom w:val="none" w:sz="0" w:space="0" w:color="auto"/>
            <w:right w:val="none" w:sz="0" w:space="0" w:color="auto"/>
          </w:divBdr>
        </w:div>
        <w:div w:id="2047363250">
          <w:marLeft w:val="0"/>
          <w:marRight w:val="0"/>
          <w:marTop w:val="0"/>
          <w:marBottom w:val="0"/>
          <w:divBdr>
            <w:top w:val="none" w:sz="0" w:space="0" w:color="auto"/>
            <w:left w:val="none" w:sz="0" w:space="0" w:color="auto"/>
            <w:bottom w:val="none" w:sz="0" w:space="0" w:color="auto"/>
            <w:right w:val="none" w:sz="0" w:space="0" w:color="auto"/>
          </w:divBdr>
        </w:div>
        <w:div w:id="1976984766">
          <w:marLeft w:val="0"/>
          <w:marRight w:val="0"/>
          <w:marTop w:val="0"/>
          <w:marBottom w:val="0"/>
          <w:divBdr>
            <w:top w:val="none" w:sz="0" w:space="0" w:color="auto"/>
            <w:left w:val="none" w:sz="0" w:space="0" w:color="auto"/>
            <w:bottom w:val="none" w:sz="0" w:space="0" w:color="auto"/>
            <w:right w:val="none" w:sz="0" w:space="0" w:color="auto"/>
          </w:divBdr>
        </w:div>
        <w:div w:id="2071615234">
          <w:marLeft w:val="0"/>
          <w:marRight w:val="0"/>
          <w:marTop w:val="0"/>
          <w:marBottom w:val="0"/>
          <w:divBdr>
            <w:top w:val="none" w:sz="0" w:space="0" w:color="auto"/>
            <w:left w:val="none" w:sz="0" w:space="0" w:color="auto"/>
            <w:bottom w:val="none" w:sz="0" w:space="0" w:color="auto"/>
            <w:right w:val="none" w:sz="0" w:space="0" w:color="auto"/>
          </w:divBdr>
        </w:div>
        <w:div w:id="50540359">
          <w:marLeft w:val="0"/>
          <w:marRight w:val="0"/>
          <w:marTop w:val="0"/>
          <w:marBottom w:val="0"/>
          <w:divBdr>
            <w:top w:val="none" w:sz="0" w:space="0" w:color="auto"/>
            <w:left w:val="none" w:sz="0" w:space="0" w:color="auto"/>
            <w:bottom w:val="none" w:sz="0" w:space="0" w:color="auto"/>
            <w:right w:val="none" w:sz="0" w:space="0" w:color="auto"/>
          </w:divBdr>
        </w:div>
        <w:div w:id="1113788527">
          <w:marLeft w:val="0"/>
          <w:marRight w:val="0"/>
          <w:marTop w:val="0"/>
          <w:marBottom w:val="0"/>
          <w:divBdr>
            <w:top w:val="none" w:sz="0" w:space="0" w:color="auto"/>
            <w:left w:val="none" w:sz="0" w:space="0" w:color="auto"/>
            <w:bottom w:val="none" w:sz="0" w:space="0" w:color="auto"/>
            <w:right w:val="none" w:sz="0" w:space="0" w:color="auto"/>
          </w:divBdr>
        </w:div>
        <w:div w:id="2071146602">
          <w:marLeft w:val="0"/>
          <w:marRight w:val="0"/>
          <w:marTop w:val="0"/>
          <w:marBottom w:val="0"/>
          <w:divBdr>
            <w:top w:val="none" w:sz="0" w:space="0" w:color="auto"/>
            <w:left w:val="none" w:sz="0" w:space="0" w:color="auto"/>
            <w:bottom w:val="none" w:sz="0" w:space="0" w:color="auto"/>
            <w:right w:val="none" w:sz="0" w:space="0" w:color="auto"/>
          </w:divBdr>
        </w:div>
        <w:div w:id="1782920631">
          <w:marLeft w:val="0"/>
          <w:marRight w:val="0"/>
          <w:marTop w:val="0"/>
          <w:marBottom w:val="0"/>
          <w:divBdr>
            <w:top w:val="none" w:sz="0" w:space="0" w:color="auto"/>
            <w:left w:val="none" w:sz="0" w:space="0" w:color="auto"/>
            <w:bottom w:val="none" w:sz="0" w:space="0" w:color="auto"/>
            <w:right w:val="none" w:sz="0" w:space="0" w:color="auto"/>
          </w:divBdr>
        </w:div>
        <w:div w:id="1345286098">
          <w:marLeft w:val="0"/>
          <w:marRight w:val="0"/>
          <w:marTop w:val="0"/>
          <w:marBottom w:val="0"/>
          <w:divBdr>
            <w:top w:val="none" w:sz="0" w:space="0" w:color="auto"/>
            <w:left w:val="none" w:sz="0" w:space="0" w:color="auto"/>
            <w:bottom w:val="none" w:sz="0" w:space="0" w:color="auto"/>
            <w:right w:val="none" w:sz="0" w:space="0" w:color="auto"/>
          </w:divBdr>
        </w:div>
        <w:div w:id="79303145">
          <w:marLeft w:val="0"/>
          <w:marRight w:val="0"/>
          <w:marTop w:val="0"/>
          <w:marBottom w:val="0"/>
          <w:divBdr>
            <w:top w:val="none" w:sz="0" w:space="0" w:color="auto"/>
            <w:left w:val="none" w:sz="0" w:space="0" w:color="auto"/>
            <w:bottom w:val="none" w:sz="0" w:space="0" w:color="auto"/>
            <w:right w:val="none" w:sz="0" w:space="0" w:color="auto"/>
          </w:divBdr>
        </w:div>
        <w:div w:id="3729663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sandra.s@uninter.com;" TargetMode="External"/><Relationship Id="rId18" Type="http://schemas.openxmlformats.org/officeDocument/2006/relationships/hyperlink" Target="http://tede2.pucgoias.edu.br:8080/bitstream/tede/712/1/CLAUDIA%20%20HELENA%20DOS%20SANTOS%20ARAUJO.%20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katia.s@uninter.com" TargetMode="External"/><Relationship Id="rId17" Type="http://schemas.openxmlformats.org/officeDocument/2006/relationships/hyperlink" Target="https://www.abed.org.br/artigo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cimara.b@uninter.com"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waldirene.b@uninter.com" TargetMode="External"/><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hyperlink" Target="mailto:ana.so@uninter.com" TargetMode="External"/><Relationship Id="rId19" Type="http://schemas.openxmlformats.org/officeDocument/2006/relationships/hyperlink" Target="https://www.seminariosregionaisanpae.net.br/%20BibliotecaVirtual/10-Livros/Educacao-a-distancia-e-tecno-%20logiasVOLUME1-050521.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rita.tu@uninter.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lisandra.s@uni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6a6181-87cc-4c00-a762-04afc5078c92" xsi:nil="true"/>
    <lcf76f155ced4ddcb4097134ff3c332f xmlns="b7c63313-d4d1-4efa-8bf7-6c5232bec4f0">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6Msk099bY7EeJ3sVo4UVOlCSQ==">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</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C084333A751D94A999CECE057865C89" ma:contentTypeVersion="18" ma:contentTypeDescription="Crie um novo documento." ma:contentTypeScope="" ma:versionID="d25ef503b2ddbc053ce510f529c9d7e2">
  <xsd:schema xmlns:xsd="http://www.w3.org/2001/XMLSchema" xmlns:xs="http://www.w3.org/2001/XMLSchema" xmlns:p="http://schemas.microsoft.com/office/2006/metadata/properties" xmlns:ns2="b7c63313-d4d1-4efa-8bf7-6c5232bec4f0" xmlns:ns3="906a6181-87cc-4c00-a762-04afc5078c92" targetNamespace="http://schemas.microsoft.com/office/2006/metadata/properties" ma:root="true" ma:fieldsID="8744f73c9290a904e226c3bb96a88d45" ns2:_="" ns3:_="">
    <xsd:import namespace="b7c63313-d4d1-4efa-8bf7-6c5232bec4f0"/>
    <xsd:import namespace="906a6181-87cc-4c00-a762-04afc5078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3313-d4d1-4efa-8bf7-6c5232bec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656649c-a5c6-4cea-a963-e5b76e8d6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a6181-87cc-4c00-a762-04afc5078c92"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6cca58e7-e362-4f2e-8786-15ee9a403c73}" ma:internalName="TaxCatchAll" ma:showField="CatchAllData" ma:web="906a6181-87cc-4c00-a762-04afc5078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3E773-E6EA-48F0-B14A-08092CCE1203}">
  <ds:schemaRefs>
    <ds:schemaRef ds:uri="http://schemas.microsoft.com/office/2006/metadata/properties"/>
    <ds:schemaRef ds:uri="http://schemas.microsoft.com/office/infopath/2007/PartnerControls"/>
    <ds:schemaRef ds:uri="906a6181-87cc-4c00-a762-04afc5078c92"/>
    <ds:schemaRef ds:uri="b7c63313-d4d1-4efa-8bf7-6c5232bec4f0"/>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3FDB2FE-A5A5-48DE-AE47-1AFDA42315C2}">
  <ds:schemaRefs>
    <ds:schemaRef ds:uri="http://schemas.microsoft.com/sharepoint/v3/contenttype/forms"/>
  </ds:schemaRefs>
</ds:datastoreItem>
</file>

<file path=customXml/itemProps4.xml><?xml version="1.0" encoding="utf-8"?>
<ds:datastoreItem xmlns:ds="http://schemas.openxmlformats.org/officeDocument/2006/customXml" ds:itemID="{0C651295-0D08-4E4F-91CD-F1C14E967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3313-d4d1-4efa-8bf7-6c5232bec4f0"/>
    <ds:schemaRef ds:uri="906a6181-87cc-4c00-a762-04afc507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4791</Words>
  <Characters>25875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Sociedade Brasileira de Computação</dc:creator>
  <cp:lastModifiedBy>Waldirene Bellardo</cp:lastModifiedBy>
  <cp:revision>16</cp:revision>
  <cp:lastPrinted>2025-03-14T18:34:00Z</cp:lastPrinted>
  <dcterms:created xsi:type="dcterms:W3CDTF">2025-03-14T19:28:00Z</dcterms:created>
  <dcterms:modified xsi:type="dcterms:W3CDTF">2025-03-14T23:05:00Z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0x0101003C084333A751D94A999CECE057865C89</vt:lpwstr>
  </property>
</Properties>
</file>